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FE69" w14:textId="77777777" w:rsidR="00AB2975" w:rsidRDefault="00AB2975" w:rsidP="00AB2975">
      <w:pPr>
        <w:spacing w:after="0" w:line="240" w:lineRule="auto"/>
        <w:contextualSpacing/>
        <w:jc w:val="center"/>
        <w:rPr>
          <w:b/>
          <w:bCs/>
        </w:rPr>
      </w:pPr>
      <w:r w:rsidRPr="0068007F">
        <w:rPr>
          <w:b/>
          <w:bCs/>
        </w:rPr>
        <w:t>Alternative Indicators as a Stopgap for Doing Business</w:t>
      </w:r>
    </w:p>
    <w:p w14:paraId="2C5BD564" w14:textId="7DB32D39" w:rsidR="00AB2975" w:rsidRDefault="00AB2975" w:rsidP="00AB2975">
      <w:pPr>
        <w:spacing w:after="0" w:line="240" w:lineRule="auto"/>
        <w:contextualSpacing/>
        <w:jc w:val="center"/>
      </w:pPr>
      <w:r>
        <w:t>DECIG</w:t>
      </w:r>
    </w:p>
    <w:p w14:paraId="01E2E93E" w14:textId="4282B3F9" w:rsidR="00BE5E45" w:rsidRDefault="00AB2975" w:rsidP="00BE5E45">
      <w:pPr>
        <w:spacing w:after="0" w:line="240" w:lineRule="auto"/>
        <w:contextualSpacing/>
        <w:jc w:val="center"/>
      </w:pPr>
      <w:r>
        <w:t xml:space="preserve">September </w:t>
      </w:r>
      <w:r w:rsidR="007F27FE">
        <w:t>30</w:t>
      </w:r>
      <w:r>
        <w:t>, 2021</w:t>
      </w:r>
    </w:p>
    <w:p w14:paraId="578F2483" w14:textId="77777777" w:rsidR="00D27F9B" w:rsidRPr="0068007F" w:rsidRDefault="00D27F9B" w:rsidP="00D27F9B">
      <w:pPr>
        <w:spacing w:after="0" w:line="240" w:lineRule="auto"/>
        <w:contextualSpacing/>
        <w:jc w:val="both"/>
      </w:pPr>
    </w:p>
    <w:p w14:paraId="297889A9" w14:textId="3FFEE0AD" w:rsidR="00D27F9B" w:rsidRPr="0068007F" w:rsidRDefault="00D27F9B" w:rsidP="00D27F9B">
      <w:pPr>
        <w:spacing w:after="0" w:line="240" w:lineRule="auto"/>
        <w:contextualSpacing/>
        <w:jc w:val="both"/>
      </w:pPr>
      <w:r w:rsidRPr="0068007F">
        <w:t xml:space="preserve">On September 16, the WBG decided to discontinue Doing Business (DB) and to work on a new approach for assessing business environment. Until the new approach is developed, and as a stopgap to support the WBG projects and ASAs impacted by </w:t>
      </w:r>
      <w:r>
        <w:t>the DB discontinuation</w:t>
      </w:r>
      <w:r w:rsidRPr="0068007F">
        <w:t xml:space="preserve">, the DB team has identified and compiled a preliminary catalog of over 60 alternative indicators based on </w:t>
      </w:r>
      <w:r>
        <w:t xml:space="preserve">more than </w:t>
      </w:r>
      <w:r w:rsidRPr="0068007F">
        <w:t>2</w:t>
      </w:r>
      <w:r>
        <w:t>0</w:t>
      </w:r>
      <w:r w:rsidRPr="0068007F">
        <w:t xml:space="preserve"> data sources. These indicators can help provide some form of benchmark for countries in the areas previously covered by DB.</w:t>
      </w:r>
    </w:p>
    <w:p w14:paraId="1045EA98" w14:textId="77777777" w:rsidR="00D27F9B" w:rsidRPr="0068007F" w:rsidRDefault="00D27F9B" w:rsidP="00D27F9B">
      <w:pPr>
        <w:spacing w:after="0" w:line="240" w:lineRule="auto"/>
        <w:contextualSpacing/>
        <w:jc w:val="both"/>
      </w:pPr>
    </w:p>
    <w:p w14:paraId="6B0CCC11" w14:textId="4CF095D3" w:rsidR="00FA6B19" w:rsidRDefault="00D27F9B" w:rsidP="007E3398">
      <w:pPr>
        <w:spacing w:after="0" w:line="240" w:lineRule="auto"/>
        <w:contextualSpacing/>
        <w:jc w:val="both"/>
      </w:pPr>
      <w:r w:rsidRPr="0068007F">
        <w:t xml:space="preserve">A summary table listing the alternative indicators is provided at the end of the document. The indicators draw on four different types of </w:t>
      </w:r>
      <w:r>
        <w:t xml:space="preserve">data </w:t>
      </w:r>
      <w:r w:rsidRPr="0068007F">
        <w:t>source</w:t>
      </w:r>
      <w:r>
        <w:t>s</w:t>
      </w:r>
      <w:r w:rsidRPr="0068007F">
        <w:t>, including surveys of firms (such as WBG Enterprise Surveys), commercial business information providers (such as Economist Intelligence Unit), non-governmental organizations (such as World Economic Forum), and public sector organizations (such as WBG, OECD and United Nations).</w:t>
      </w:r>
    </w:p>
    <w:p w14:paraId="73942ACE" w14:textId="77777777" w:rsidR="00FA6B19" w:rsidRDefault="00FA6B19" w:rsidP="007E3398">
      <w:pPr>
        <w:spacing w:after="0" w:line="240" w:lineRule="auto"/>
        <w:contextualSpacing/>
        <w:jc w:val="both"/>
      </w:pPr>
    </w:p>
    <w:p w14:paraId="654586A8" w14:textId="1C9CB035" w:rsidR="00D27F9B" w:rsidRPr="0068007F" w:rsidRDefault="00D27F9B" w:rsidP="007E3398">
      <w:pPr>
        <w:spacing w:after="0" w:line="240" w:lineRule="auto"/>
        <w:contextualSpacing/>
        <w:jc w:val="both"/>
      </w:pPr>
      <w:r w:rsidRPr="0068007F">
        <w:t xml:space="preserve">Some indicators have a large </w:t>
      </w:r>
      <w:r>
        <w:t>cross-country</w:t>
      </w:r>
      <w:r w:rsidRPr="0068007F">
        <w:t xml:space="preserve"> coverage while others include a smaller subset of economies. For example, the OECD’s Trade Facilitation Indicators cover 16</w:t>
      </w:r>
      <w:r w:rsidR="00AA6DF3">
        <w:t>4</w:t>
      </w:r>
      <w:r w:rsidRPr="0068007F">
        <w:t xml:space="preserve"> economies; in comparison, the Tax Foundation’s International Tax Competitiveness Index covers 36 economies.</w:t>
      </w:r>
      <w:r w:rsidR="006415F1" w:rsidRPr="006415F1">
        <w:t xml:space="preserve"> </w:t>
      </w:r>
      <w:r w:rsidR="0093616A">
        <w:t>Th</w:t>
      </w:r>
      <w:r w:rsidR="00D706EB">
        <w:t>e accompanying</w:t>
      </w:r>
      <w:r w:rsidR="0093616A">
        <w:t xml:space="preserve"> </w:t>
      </w:r>
      <w:r w:rsidR="0093616A" w:rsidRPr="00FA1285">
        <w:t>Excel</w:t>
      </w:r>
      <w:r w:rsidR="0093616A">
        <w:t xml:space="preserve"> </w:t>
      </w:r>
      <w:r w:rsidR="00855D06">
        <w:t>compiles</w:t>
      </w:r>
      <w:r w:rsidR="0093616A">
        <w:t xml:space="preserve"> the</w:t>
      </w:r>
      <w:r w:rsidR="008A59FC">
        <w:t xml:space="preserve"> </w:t>
      </w:r>
      <w:r w:rsidR="00884EA1">
        <w:t xml:space="preserve">actual </w:t>
      </w:r>
      <w:r w:rsidR="008A59FC">
        <w:t xml:space="preserve">data </w:t>
      </w:r>
      <w:r w:rsidR="00CB48E6">
        <w:t>for</w:t>
      </w:r>
      <w:r w:rsidR="008A59FC">
        <w:t xml:space="preserve"> </w:t>
      </w:r>
      <w:r w:rsidR="00C93770">
        <w:t>44</w:t>
      </w:r>
      <w:r w:rsidR="0093616A">
        <w:t xml:space="preserve"> </w:t>
      </w:r>
      <w:r w:rsidR="00C8072F">
        <w:t>alternative indicators</w:t>
      </w:r>
      <w:r w:rsidR="0093616A">
        <w:t xml:space="preserve"> </w:t>
      </w:r>
      <w:r w:rsidR="007972E7">
        <w:t>that can be</w:t>
      </w:r>
      <w:r w:rsidR="00D71A48">
        <w:t xml:space="preserve"> </w:t>
      </w:r>
      <w:r w:rsidR="00193F07">
        <w:t>download</w:t>
      </w:r>
      <w:r w:rsidR="007972E7">
        <w:t>ed</w:t>
      </w:r>
      <w:r w:rsidR="00D71A48">
        <w:t xml:space="preserve"> in a</w:t>
      </w:r>
      <w:r w:rsidR="00515CA0">
        <w:t>n editable</w:t>
      </w:r>
      <w:r w:rsidR="007972E7">
        <w:t xml:space="preserve"> </w:t>
      </w:r>
      <w:r w:rsidR="00E96128">
        <w:t>format</w:t>
      </w:r>
      <w:r w:rsidR="00AD32E7">
        <w:t>.</w:t>
      </w:r>
      <w:r w:rsidR="00D24961">
        <w:t xml:space="preserve"> The dashboard in the </w:t>
      </w:r>
      <w:r w:rsidR="00725AB2">
        <w:t xml:space="preserve">Excel </w:t>
      </w:r>
      <w:r w:rsidR="00D24961">
        <w:t>database summarizes</w:t>
      </w:r>
      <w:r w:rsidR="006415F1">
        <w:t xml:space="preserve"> the </w:t>
      </w:r>
      <w:r w:rsidR="00521719">
        <w:t>number</w:t>
      </w:r>
      <w:r w:rsidR="006415F1">
        <w:t xml:space="preserve"> of economies</w:t>
      </w:r>
      <w:r w:rsidR="00836FAC">
        <w:t xml:space="preserve"> </w:t>
      </w:r>
      <w:r w:rsidR="00687FBF">
        <w:t>covered by e</w:t>
      </w:r>
      <w:r w:rsidR="006415F1">
        <w:t>ach indicator</w:t>
      </w:r>
      <w:r w:rsidR="00520BEC">
        <w:t xml:space="preserve"> </w:t>
      </w:r>
      <w:r w:rsidR="00100CF7">
        <w:t>and</w:t>
      </w:r>
      <w:r w:rsidR="00770AF0">
        <w:t xml:space="preserve"> </w:t>
      </w:r>
      <w:r w:rsidR="00687FBF">
        <w:t>year</w:t>
      </w:r>
      <w:r w:rsidR="00100CF7">
        <w:t>,</w:t>
      </w:r>
      <w:r w:rsidR="00770AF0">
        <w:t xml:space="preserve"> for</w:t>
      </w:r>
      <w:r w:rsidR="00520BEC">
        <w:t xml:space="preserve"> each</w:t>
      </w:r>
      <w:r w:rsidR="00513652">
        <w:t xml:space="preserve"> income group</w:t>
      </w:r>
      <w:r w:rsidR="0073332F">
        <w:t xml:space="preserve"> and region</w:t>
      </w:r>
      <w:r w:rsidR="00100CF7">
        <w:t>,</w:t>
      </w:r>
      <w:r w:rsidR="0057006A">
        <w:t xml:space="preserve"> between 2000-2021</w:t>
      </w:r>
      <w:r w:rsidR="00EB5565">
        <w:t>.</w:t>
      </w:r>
    </w:p>
    <w:p w14:paraId="374BD923" w14:textId="77777777" w:rsidR="00D27F9B" w:rsidRPr="0068007F" w:rsidRDefault="00D27F9B" w:rsidP="00D27F9B">
      <w:pPr>
        <w:spacing w:after="0" w:line="240" w:lineRule="auto"/>
        <w:contextualSpacing/>
        <w:jc w:val="both"/>
      </w:pPr>
    </w:p>
    <w:p w14:paraId="73D5E216" w14:textId="2BA9F422" w:rsidR="00D27F9B" w:rsidRPr="0068007F" w:rsidRDefault="00D27F9B" w:rsidP="00D27F9B">
      <w:pPr>
        <w:spacing w:after="0" w:line="240" w:lineRule="auto"/>
        <w:contextualSpacing/>
        <w:jc w:val="both"/>
      </w:pPr>
      <w:r w:rsidRPr="0068007F">
        <w:t>Broadly speaking, these alternative indicators can be assigned to three stages of the business environment: opening a business, operating a business, and closing a business.</w:t>
      </w:r>
    </w:p>
    <w:p w14:paraId="6F4F660B" w14:textId="0DC381B0" w:rsidR="00D27F9B" w:rsidRPr="0068007F" w:rsidRDefault="00D27F9B" w:rsidP="00D27F9B">
      <w:pPr>
        <w:pStyle w:val="ListParagraph"/>
        <w:numPr>
          <w:ilvl w:val="0"/>
          <w:numId w:val="23"/>
        </w:numPr>
        <w:spacing w:after="0" w:line="240" w:lineRule="auto"/>
        <w:jc w:val="both"/>
      </w:pPr>
      <w:r w:rsidRPr="0068007F">
        <w:t>Opening a business captures incorporation</w:t>
      </w:r>
      <w:r>
        <w:t>, registration,</w:t>
      </w:r>
      <w:r w:rsidRPr="0068007F">
        <w:t xml:space="preserve"> and </w:t>
      </w:r>
      <w:r>
        <w:t>initial infrastructure and services</w:t>
      </w:r>
      <w:r w:rsidRPr="0068007F">
        <w:t>. It includes indicators such as the new business density (WBG Entrepreneurship Database) and number of days to obtain construction-related permits (WBG Enterprise Surveys).</w:t>
      </w:r>
    </w:p>
    <w:p w14:paraId="540A9E2B" w14:textId="270A8D42" w:rsidR="00D27F9B" w:rsidRPr="0068007F" w:rsidRDefault="00D27F9B" w:rsidP="00D27F9B">
      <w:pPr>
        <w:pStyle w:val="ListParagraph"/>
        <w:numPr>
          <w:ilvl w:val="0"/>
          <w:numId w:val="23"/>
        </w:numPr>
        <w:spacing w:after="0" w:line="240" w:lineRule="auto"/>
        <w:jc w:val="both"/>
      </w:pPr>
      <w:r w:rsidRPr="0068007F">
        <w:t>Operating a business captures various aspects of the business environment that firms deal with in their day-to-day operations. It includes indicators such as the quality of electricity supply (World Economic Forum), tax policy risk (Economist Intelligence Unit), and Logistics Performance Index on trade logistics (WBG).</w:t>
      </w:r>
    </w:p>
    <w:p w14:paraId="3662C04C" w14:textId="77777777" w:rsidR="00D27F9B" w:rsidRPr="0068007F" w:rsidRDefault="00D27F9B" w:rsidP="00D27F9B">
      <w:pPr>
        <w:pStyle w:val="ListParagraph"/>
        <w:numPr>
          <w:ilvl w:val="0"/>
          <w:numId w:val="23"/>
        </w:numPr>
        <w:spacing w:after="0" w:line="240" w:lineRule="auto"/>
        <w:jc w:val="both"/>
      </w:pPr>
      <w:r w:rsidRPr="0068007F">
        <w:t>Closing a business captures liquidation options and opportunities for rehabilitation. It includes indicators such as the insolvency assessment on reorganization procedures (EBRD) and benchmarking of national loan enforcement frameworks (European Banking Authority).</w:t>
      </w:r>
    </w:p>
    <w:p w14:paraId="0577F3F0" w14:textId="77777777" w:rsidR="00D27F9B" w:rsidRPr="0068007F" w:rsidRDefault="00D27F9B" w:rsidP="00D27F9B">
      <w:pPr>
        <w:spacing w:after="0" w:line="240" w:lineRule="auto"/>
        <w:contextualSpacing/>
        <w:jc w:val="both"/>
      </w:pPr>
    </w:p>
    <w:p w14:paraId="65D5E6DF" w14:textId="77777777" w:rsidR="00D27F9B" w:rsidRPr="0068007F" w:rsidRDefault="00D27F9B" w:rsidP="00D27F9B">
      <w:pPr>
        <w:spacing w:after="0" w:line="240" w:lineRule="auto"/>
        <w:contextualSpacing/>
        <w:jc w:val="both"/>
      </w:pPr>
      <w:r w:rsidRPr="0068007F">
        <w:t xml:space="preserve">If desired, the DB team can explore ways to construct the three aggregate measures—opening a business, operating a business, and closing a business—based on suitable individual indicators. One potential way of doing this is to follow the DB approach and aggregate individual indicators through simple averaging. </w:t>
      </w:r>
      <w:r>
        <w:t>An</w:t>
      </w:r>
      <w:r w:rsidRPr="0068007F">
        <w:t xml:space="preserve">other possibility is to adopt a similar approach </w:t>
      </w:r>
      <w:r>
        <w:t>as</w:t>
      </w:r>
      <w:r w:rsidRPr="0068007F">
        <w:t xml:space="preserve"> the Worldwide Governance Indicators </w:t>
      </w:r>
      <w:r>
        <w:t>and use</w:t>
      </w:r>
      <w:r w:rsidRPr="0068007F">
        <w:t xml:space="preserve"> weighted averag</w:t>
      </w:r>
      <w:r>
        <w:t>ing</w:t>
      </w:r>
      <w:r w:rsidRPr="0068007F">
        <w:t xml:space="preserve"> </w:t>
      </w:r>
      <w:r>
        <w:t>through</w:t>
      </w:r>
      <w:r w:rsidRPr="0068007F">
        <w:t xml:space="preserve"> a statistical tool known as </w:t>
      </w:r>
      <w:r>
        <w:t xml:space="preserve">the </w:t>
      </w:r>
      <w:r w:rsidRPr="0068007F">
        <w:t>Unobserved Components Model (UCM).</w:t>
      </w:r>
    </w:p>
    <w:p w14:paraId="5A06EB0D" w14:textId="77777777" w:rsidR="00D27F9B" w:rsidRPr="0068007F" w:rsidRDefault="00D27F9B" w:rsidP="00D27F9B">
      <w:pPr>
        <w:spacing w:after="0" w:line="240" w:lineRule="auto"/>
        <w:contextualSpacing/>
        <w:jc w:val="both"/>
      </w:pPr>
    </w:p>
    <w:p w14:paraId="05C9EBD7" w14:textId="456B2D00" w:rsidR="00D27F9B" w:rsidRPr="00202243" w:rsidRDefault="00D27F9B" w:rsidP="00D27F9B">
      <w:pPr>
        <w:spacing w:after="0" w:line="240" w:lineRule="auto"/>
        <w:jc w:val="both"/>
        <w:sectPr w:rsidR="00D27F9B" w:rsidRPr="00202243" w:rsidSect="00822A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r>
        <w:t>I</w:t>
      </w:r>
      <w:r w:rsidRPr="0068007F">
        <w:t xml:space="preserve">ndividual indicators and aggregated measures </w:t>
      </w:r>
      <w:r>
        <w:t>provide different informational contributions</w:t>
      </w:r>
      <w:r w:rsidRPr="0068007F">
        <w:t xml:space="preserve">. </w:t>
      </w:r>
      <w:r w:rsidRPr="0068007F">
        <w:rPr>
          <w:rFonts w:cstheme="minorHAnsi"/>
        </w:rPr>
        <w:t xml:space="preserve">Individual indicators provide direct answer to specific questions. And aggregate measures generate interest and offer an opening for policy dialogue </w:t>
      </w:r>
      <w:r>
        <w:rPr>
          <w:rFonts w:cstheme="minorHAnsi"/>
        </w:rPr>
        <w:t>on</w:t>
      </w:r>
      <w:r w:rsidRPr="0068007F">
        <w:rPr>
          <w:rFonts w:cstheme="minorHAnsi"/>
        </w:rPr>
        <w:t xml:space="preserve"> the business </w:t>
      </w:r>
      <w:proofErr w:type="gramStart"/>
      <w:r w:rsidRPr="0068007F">
        <w:rPr>
          <w:rFonts w:cstheme="minorHAnsi"/>
        </w:rPr>
        <w:t>environment</w:t>
      </w:r>
      <w:r>
        <w:rPr>
          <w:rFonts w:cstheme="minorHAnsi"/>
        </w:rPr>
        <w:t xml:space="preserve"> as a whole</w:t>
      </w:r>
      <w:proofErr w:type="gramEnd"/>
      <w:r w:rsidRPr="0068007F">
        <w:rPr>
          <w:rFonts w:cstheme="minorHAnsi"/>
        </w:rPr>
        <w:t>.</w:t>
      </w:r>
      <w:r w:rsidRPr="0068007F">
        <w:t xml:space="preserve"> Depending on the objectives of the projects and ASA</w:t>
      </w:r>
      <w:r w:rsidR="00464C5D">
        <w:t>s</w:t>
      </w:r>
      <w:r w:rsidRPr="0068007F">
        <w:t>, the WBG colleagues can decide which indicators to use</w:t>
      </w:r>
      <w:r w:rsidRPr="00B05ADE">
        <w:t>—</w:t>
      </w:r>
      <w:r w:rsidRPr="0068007F">
        <w:t>individual, aggregated, or both.</w:t>
      </w:r>
      <w:r w:rsidRPr="0068007F">
        <w:rPr>
          <w:rFonts w:cstheme="minorHAnsi"/>
        </w:rPr>
        <w:t xml:space="preserve"> Compiling information from various data sources and aggregating individual indicators to be </w:t>
      </w:r>
      <w:r w:rsidRPr="0068007F">
        <w:rPr>
          <w:rFonts w:cstheme="minorHAnsi"/>
        </w:rPr>
        <w:lastRenderedPageBreak/>
        <w:t xml:space="preserve">comparable across sources are complex technical problems. DECIG </w:t>
      </w:r>
      <w:r>
        <w:rPr>
          <w:rFonts w:cstheme="minorHAnsi"/>
        </w:rPr>
        <w:t>can</w:t>
      </w:r>
      <w:r w:rsidRPr="0068007F">
        <w:rPr>
          <w:rFonts w:cstheme="minorHAnsi"/>
        </w:rPr>
        <w:t xml:space="preserve"> contribute to the WBG to fill </w:t>
      </w:r>
      <w:r>
        <w:rPr>
          <w:rFonts w:cstheme="minorHAnsi"/>
        </w:rPr>
        <w:t xml:space="preserve">data </w:t>
      </w:r>
      <w:r w:rsidRPr="0068007F">
        <w:rPr>
          <w:rFonts w:cstheme="minorHAnsi"/>
        </w:rPr>
        <w:t xml:space="preserve">voids </w:t>
      </w:r>
      <w:r>
        <w:rPr>
          <w:rFonts w:cstheme="minorHAnsi"/>
        </w:rPr>
        <w:t>while a new business environment set of indicators is created</w:t>
      </w:r>
      <w:r w:rsidRPr="0068007F">
        <w:rPr>
          <w:rFonts w:cstheme="minorHAnsi"/>
        </w:rPr>
        <w:t>.</w:t>
      </w:r>
    </w:p>
    <w:p w14:paraId="74990CA1" w14:textId="12C72593" w:rsidR="00623EC1" w:rsidRPr="007B6FFB" w:rsidRDefault="00034E49" w:rsidP="0034235E">
      <w:pPr>
        <w:spacing w:after="0" w:line="240" w:lineRule="auto"/>
        <w:contextualSpacing/>
        <w:jc w:val="center"/>
        <w:rPr>
          <w:rFonts w:cstheme="minorHAnsi"/>
          <w:sz w:val="24"/>
          <w:szCs w:val="24"/>
        </w:rPr>
      </w:pPr>
      <w:r>
        <w:rPr>
          <w:rFonts w:cstheme="minorHAnsi"/>
          <w:b/>
          <w:bCs/>
          <w:sz w:val="24"/>
          <w:szCs w:val="24"/>
        </w:rPr>
        <w:lastRenderedPageBreak/>
        <w:t>Table</w:t>
      </w:r>
      <w:r w:rsidR="00623EC1" w:rsidRPr="007B6FFB">
        <w:rPr>
          <w:rFonts w:cstheme="minorHAnsi"/>
          <w:b/>
          <w:bCs/>
          <w:sz w:val="24"/>
          <w:szCs w:val="24"/>
        </w:rPr>
        <w:t xml:space="preserve">: A Preliminary </w:t>
      </w:r>
      <w:r>
        <w:rPr>
          <w:rFonts w:cstheme="minorHAnsi"/>
          <w:b/>
          <w:bCs/>
          <w:sz w:val="24"/>
          <w:szCs w:val="24"/>
        </w:rPr>
        <w:t>Catalog</w:t>
      </w:r>
      <w:r w:rsidR="00623EC1" w:rsidRPr="007B6FFB">
        <w:rPr>
          <w:rFonts w:cstheme="minorHAnsi"/>
          <w:b/>
          <w:bCs/>
          <w:sz w:val="24"/>
          <w:szCs w:val="24"/>
        </w:rPr>
        <w:t xml:space="preserve"> of </w:t>
      </w:r>
      <w:r>
        <w:rPr>
          <w:rFonts w:cstheme="minorHAnsi"/>
          <w:b/>
          <w:bCs/>
          <w:sz w:val="24"/>
          <w:szCs w:val="24"/>
        </w:rPr>
        <w:t>Alternative</w:t>
      </w:r>
      <w:r w:rsidR="00623EC1" w:rsidRPr="007B6FFB">
        <w:rPr>
          <w:rFonts w:cstheme="minorHAnsi"/>
          <w:b/>
          <w:bCs/>
          <w:sz w:val="24"/>
          <w:szCs w:val="24"/>
        </w:rPr>
        <w:t xml:space="preserve"> Indicators</w:t>
      </w:r>
    </w:p>
    <w:p w14:paraId="2E866B02" w14:textId="77777777" w:rsidR="00623EC1" w:rsidRPr="007B6FFB" w:rsidRDefault="00623EC1" w:rsidP="0034235E">
      <w:pPr>
        <w:pStyle w:val="NoSpacing"/>
        <w:contextualSpacing/>
        <w:rPr>
          <w:rFonts w:cstheme="minorHAnsi"/>
        </w:rPr>
      </w:pPr>
    </w:p>
    <w:tbl>
      <w:tblPr>
        <w:tblW w:w="2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41"/>
        <w:gridCol w:w="1341"/>
        <w:gridCol w:w="1393"/>
        <w:gridCol w:w="1080"/>
        <w:gridCol w:w="1550"/>
        <w:gridCol w:w="1341"/>
        <w:gridCol w:w="5659"/>
        <w:gridCol w:w="1485"/>
        <w:gridCol w:w="1485"/>
        <w:gridCol w:w="1350"/>
        <w:gridCol w:w="1418"/>
        <w:gridCol w:w="1418"/>
        <w:gridCol w:w="1664"/>
      </w:tblGrid>
      <w:tr w:rsidR="00500C09" w:rsidRPr="00D04DA2" w14:paraId="3BCDD718" w14:textId="77777777" w:rsidTr="167C0426">
        <w:trPr>
          <w:trHeight w:val="290"/>
          <w:tblHeader/>
        </w:trPr>
        <w:tc>
          <w:tcPr>
            <w:tcW w:w="510" w:type="dxa"/>
            <w:shd w:val="clear" w:color="auto" w:fill="BDD6EE" w:themeFill="accent5" w:themeFillTint="66"/>
          </w:tcPr>
          <w:p w14:paraId="75C40291" w14:textId="77777777" w:rsidR="00E5474F" w:rsidRPr="00D04DA2" w:rsidRDefault="00E5474F" w:rsidP="00D04DA2">
            <w:pPr>
              <w:spacing w:after="0" w:line="240" w:lineRule="auto"/>
              <w:contextualSpacing/>
              <w:jc w:val="center"/>
              <w:rPr>
                <w:rFonts w:eastAsia="Times New Roman" w:cstheme="minorHAnsi"/>
                <w:b/>
                <w:bCs/>
                <w:sz w:val="20"/>
                <w:szCs w:val="20"/>
              </w:rPr>
            </w:pPr>
            <w:r w:rsidRPr="00D04DA2">
              <w:rPr>
                <w:rFonts w:eastAsia="Times New Roman" w:cstheme="minorHAnsi"/>
                <w:b/>
                <w:bCs/>
                <w:sz w:val="20"/>
                <w:szCs w:val="20"/>
              </w:rPr>
              <w:t>No.</w:t>
            </w:r>
          </w:p>
        </w:tc>
        <w:tc>
          <w:tcPr>
            <w:tcW w:w="1341" w:type="dxa"/>
            <w:shd w:val="clear" w:color="auto" w:fill="BDD6EE" w:themeFill="accent5" w:themeFillTint="66"/>
          </w:tcPr>
          <w:p w14:paraId="7BA36284" w14:textId="77777777" w:rsidR="00E5474F" w:rsidRPr="00D04DA2" w:rsidRDefault="00E5474F" w:rsidP="00D04DA2">
            <w:pPr>
              <w:spacing w:after="0" w:line="240" w:lineRule="auto"/>
              <w:contextualSpacing/>
              <w:jc w:val="center"/>
              <w:rPr>
                <w:rFonts w:eastAsia="Times New Roman" w:cstheme="minorHAnsi"/>
                <w:b/>
                <w:sz w:val="20"/>
                <w:szCs w:val="20"/>
              </w:rPr>
            </w:pPr>
            <w:r w:rsidRPr="00D04DA2">
              <w:rPr>
                <w:rFonts w:eastAsia="Times New Roman" w:cstheme="minorHAnsi"/>
                <w:b/>
                <w:sz w:val="20"/>
                <w:szCs w:val="20"/>
              </w:rPr>
              <w:t>DB Topic</w:t>
            </w:r>
          </w:p>
        </w:tc>
        <w:tc>
          <w:tcPr>
            <w:tcW w:w="1341" w:type="dxa"/>
            <w:shd w:val="clear" w:color="auto" w:fill="BDD6EE" w:themeFill="accent5" w:themeFillTint="66"/>
          </w:tcPr>
          <w:p w14:paraId="46076D3F" w14:textId="77777777"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Stopgap Pillar</w:t>
            </w:r>
          </w:p>
        </w:tc>
        <w:tc>
          <w:tcPr>
            <w:tcW w:w="1393" w:type="dxa"/>
            <w:shd w:val="clear" w:color="auto" w:fill="BDD6EE" w:themeFill="accent5" w:themeFillTint="66"/>
            <w:noWrap/>
            <w:hideMark/>
          </w:tcPr>
          <w:p w14:paraId="25F6D724" w14:textId="77777777"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Stopgap Indicator</w:t>
            </w:r>
          </w:p>
        </w:tc>
        <w:tc>
          <w:tcPr>
            <w:tcW w:w="1080" w:type="dxa"/>
            <w:shd w:val="clear" w:color="auto" w:fill="BDD6EE" w:themeFill="accent5" w:themeFillTint="66"/>
          </w:tcPr>
          <w:p w14:paraId="09A83DF9" w14:textId="77777777" w:rsidR="00E5474F" w:rsidRPr="00D04DA2" w:rsidRDefault="00E5474F" w:rsidP="00D04DA2">
            <w:pPr>
              <w:spacing w:after="0" w:line="240" w:lineRule="auto"/>
              <w:contextualSpacing/>
              <w:jc w:val="center"/>
              <w:rPr>
                <w:rFonts w:eastAsia="Times New Roman" w:cstheme="minorHAnsi"/>
                <w:b/>
                <w:sz w:val="20"/>
                <w:szCs w:val="20"/>
              </w:rPr>
            </w:pPr>
            <w:r w:rsidRPr="00D04DA2">
              <w:rPr>
                <w:rFonts w:eastAsia="Times New Roman" w:cstheme="minorHAnsi"/>
                <w:b/>
                <w:sz w:val="20"/>
                <w:szCs w:val="20"/>
              </w:rPr>
              <w:t>Unit of Indicator</w:t>
            </w:r>
          </w:p>
        </w:tc>
        <w:tc>
          <w:tcPr>
            <w:tcW w:w="1550" w:type="dxa"/>
            <w:shd w:val="clear" w:color="auto" w:fill="BDD6EE" w:themeFill="accent5" w:themeFillTint="66"/>
            <w:noWrap/>
            <w:hideMark/>
          </w:tcPr>
          <w:p w14:paraId="165E2E49" w14:textId="77777777"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sz w:val="20"/>
                <w:szCs w:val="20"/>
              </w:rPr>
              <w:t>Organization</w:t>
            </w:r>
          </w:p>
        </w:tc>
        <w:tc>
          <w:tcPr>
            <w:tcW w:w="1341" w:type="dxa"/>
            <w:shd w:val="clear" w:color="auto" w:fill="BDD6EE" w:themeFill="accent5" w:themeFillTint="66"/>
          </w:tcPr>
          <w:p w14:paraId="36225C2B" w14:textId="77777777"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Type of</w:t>
            </w:r>
          </w:p>
          <w:p w14:paraId="5F36B98E" w14:textId="6FDDE8F3"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Data Sources</w:t>
            </w:r>
          </w:p>
        </w:tc>
        <w:tc>
          <w:tcPr>
            <w:tcW w:w="5659" w:type="dxa"/>
            <w:shd w:val="clear" w:color="auto" w:fill="BDD6EE" w:themeFill="accent5" w:themeFillTint="66"/>
            <w:noWrap/>
            <w:hideMark/>
          </w:tcPr>
          <w:p w14:paraId="517977EB" w14:textId="678B6283" w:rsidR="00267246"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Description</w:t>
            </w:r>
          </w:p>
        </w:tc>
        <w:tc>
          <w:tcPr>
            <w:tcW w:w="1485" w:type="dxa"/>
            <w:shd w:val="clear" w:color="auto" w:fill="BDD6EE" w:themeFill="accent5" w:themeFillTint="66"/>
          </w:tcPr>
          <w:p w14:paraId="22CF5F35" w14:textId="12E7185A"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Policy Metrics or Outcome</w:t>
            </w:r>
          </w:p>
        </w:tc>
        <w:tc>
          <w:tcPr>
            <w:tcW w:w="1485" w:type="dxa"/>
            <w:shd w:val="clear" w:color="auto" w:fill="BDD6EE" w:themeFill="accent5" w:themeFillTint="66"/>
            <w:noWrap/>
            <w:hideMark/>
          </w:tcPr>
          <w:p w14:paraId="3BFA4B76" w14:textId="28AA4343" w:rsidR="00E5474F"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Global or Regional</w:t>
            </w:r>
          </w:p>
        </w:tc>
        <w:tc>
          <w:tcPr>
            <w:tcW w:w="1350" w:type="dxa"/>
            <w:shd w:val="clear" w:color="auto" w:fill="BDD6EE" w:themeFill="accent5" w:themeFillTint="66"/>
          </w:tcPr>
          <w:p w14:paraId="0C2DC696" w14:textId="2F447DF1" w:rsidR="00E5474F" w:rsidRPr="00A4715D" w:rsidRDefault="00E5474F" w:rsidP="00D04DA2">
            <w:pPr>
              <w:spacing w:after="0" w:line="240" w:lineRule="auto"/>
              <w:contextualSpacing/>
              <w:jc w:val="center"/>
              <w:rPr>
                <w:rFonts w:eastAsia="Times New Roman" w:cstheme="minorHAnsi"/>
                <w:b/>
                <w:color w:val="000000"/>
                <w:sz w:val="20"/>
                <w:szCs w:val="20"/>
              </w:rPr>
            </w:pPr>
            <w:r w:rsidRPr="00A4715D">
              <w:rPr>
                <w:rFonts w:eastAsia="Times New Roman" w:cstheme="minorHAnsi"/>
                <w:b/>
                <w:color w:val="000000"/>
                <w:sz w:val="20"/>
                <w:szCs w:val="20"/>
              </w:rPr>
              <w:t>Number of Economies Covered</w:t>
            </w:r>
            <w:r w:rsidR="003B171F" w:rsidRPr="00A4715D">
              <w:rPr>
                <w:rFonts w:eastAsia="Times New Roman" w:cstheme="minorHAnsi"/>
                <w:b/>
                <w:color w:val="000000"/>
                <w:sz w:val="20"/>
                <w:szCs w:val="20"/>
              </w:rPr>
              <w:t xml:space="preserve"> </w:t>
            </w:r>
            <w:r w:rsidR="00367615" w:rsidRPr="00A4715D">
              <w:rPr>
                <w:rFonts w:eastAsia="Times New Roman" w:cstheme="minorHAnsi"/>
                <w:b/>
                <w:color w:val="000000"/>
                <w:sz w:val="20"/>
                <w:szCs w:val="20"/>
              </w:rPr>
              <w:t>in</w:t>
            </w:r>
            <w:r w:rsidR="003B171F" w:rsidRPr="00A4715D">
              <w:rPr>
                <w:rFonts w:eastAsia="Times New Roman" w:cstheme="minorHAnsi"/>
                <w:b/>
                <w:color w:val="000000"/>
                <w:sz w:val="20"/>
                <w:szCs w:val="20"/>
              </w:rPr>
              <w:t xml:space="preserve"> 2000-2021</w:t>
            </w:r>
          </w:p>
        </w:tc>
        <w:tc>
          <w:tcPr>
            <w:tcW w:w="1418" w:type="dxa"/>
            <w:shd w:val="clear" w:color="auto" w:fill="BDD6EE" w:themeFill="accent5" w:themeFillTint="66"/>
          </w:tcPr>
          <w:p w14:paraId="2011A44B" w14:textId="7E4148E5" w:rsidR="00E5474F" w:rsidRPr="00A4715D" w:rsidRDefault="00E5474F" w:rsidP="00D04DA2">
            <w:pPr>
              <w:spacing w:after="0" w:line="240" w:lineRule="auto"/>
              <w:contextualSpacing/>
              <w:jc w:val="center"/>
              <w:rPr>
                <w:rFonts w:eastAsia="Times New Roman" w:cstheme="minorHAnsi"/>
                <w:b/>
                <w:color w:val="000000"/>
                <w:sz w:val="20"/>
                <w:szCs w:val="20"/>
              </w:rPr>
            </w:pPr>
            <w:r w:rsidRPr="00A4715D">
              <w:rPr>
                <w:rFonts w:eastAsia="Times New Roman" w:cstheme="minorHAnsi"/>
                <w:b/>
                <w:color w:val="000000"/>
                <w:sz w:val="20"/>
                <w:szCs w:val="20"/>
              </w:rPr>
              <w:t>Number of Low-income Economies Covered</w:t>
            </w:r>
            <w:r w:rsidR="003B171F" w:rsidRPr="00A4715D">
              <w:rPr>
                <w:rFonts w:eastAsia="Times New Roman" w:cstheme="minorHAnsi"/>
                <w:b/>
                <w:color w:val="000000"/>
                <w:sz w:val="20"/>
                <w:szCs w:val="20"/>
              </w:rPr>
              <w:t xml:space="preserve"> in 2000-2021</w:t>
            </w:r>
          </w:p>
        </w:tc>
        <w:tc>
          <w:tcPr>
            <w:tcW w:w="1418" w:type="dxa"/>
            <w:shd w:val="clear" w:color="auto" w:fill="BDD6EE" w:themeFill="accent5" w:themeFillTint="66"/>
            <w:noWrap/>
            <w:hideMark/>
          </w:tcPr>
          <w:p w14:paraId="53281E5D" w14:textId="64D7C217" w:rsidR="001952A2" w:rsidRPr="00D04DA2" w:rsidRDefault="00E5474F" w:rsidP="00D04DA2">
            <w:pPr>
              <w:spacing w:after="0" w:line="240" w:lineRule="auto"/>
              <w:contextualSpacing/>
              <w:jc w:val="center"/>
              <w:rPr>
                <w:rFonts w:eastAsia="Times New Roman" w:cstheme="minorHAnsi"/>
                <w:b/>
                <w:color w:val="000000"/>
                <w:sz w:val="20"/>
                <w:szCs w:val="20"/>
              </w:rPr>
            </w:pPr>
            <w:r w:rsidRPr="00ED6A59">
              <w:rPr>
                <w:rFonts w:eastAsia="Times New Roman" w:cstheme="minorHAnsi"/>
                <w:b/>
                <w:color w:val="000000"/>
                <w:sz w:val="20"/>
                <w:szCs w:val="20"/>
              </w:rPr>
              <w:t>Periodicity of Publication</w:t>
            </w:r>
          </w:p>
        </w:tc>
        <w:tc>
          <w:tcPr>
            <w:tcW w:w="1664" w:type="dxa"/>
            <w:shd w:val="clear" w:color="auto" w:fill="BDD6EE" w:themeFill="accent5" w:themeFillTint="66"/>
          </w:tcPr>
          <w:p w14:paraId="4521C6A1" w14:textId="5955B391" w:rsidR="00873C8C" w:rsidRPr="00D04DA2" w:rsidRDefault="00E5474F" w:rsidP="00D04DA2">
            <w:pPr>
              <w:spacing w:after="0" w:line="240" w:lineRule="auto"/>
              <w:contextualSpacing/>
              <w:jc w:val="center"/>
              <w:rPr>
                <w:rFonts w:eastAsia="Times New Roman" w:cstheme="minorHAnsi"/>
                <w:b/>
                <w:color w:val="000000"/>
                <w:sz w:val="20"/>
                <w:szCs w:val="20"/>
              </w:rPr>
            </w:pPr>
            <w:r w:rsidRPr="00D04DA2">
              <w:rPr>
                <w:rFonts w:eastAsia="Times New Roman" w:cstheme="minorHAnsi"/>
                <w:b/>
                <w:color w:val="000000"/>
                <w:sz w:val="20"/>
                <w:szCs w:val="20"/>
              </w:rPr>
              <w:t>Website</w:t>
            </w:r>
          </w:p>
        </w:tc>
      </w:tr>
      <w:tr w:rsidR="00500C09" w:rsidRPr="00D04DA2" w14:paraId="0CE20BF0" w14:textId="77777777" w:rsidTr="167C0426">
        <w:trPr>
          <w:trHeight w:val="275"/>
        </w:trPr>
        <w:tc>
          <w:tcPr>
            <w:tcW w:w="510" w:type="dxa"/>
            <w:tcBorders>
              <w:top w:val="single" w:sz="4" w:space="0" w:color="auto"/>
              <w:left w:val="single" w:sz="4" w:space="0" w:color="auto"/>
              <w:bottom w:val="single" w:sz="4" w:space="0" w:color="auto"/>
              <w:right w:val="nil"/>
            </w:tcBorders>
          </w:tcPr>
          <w:p w14:paraId="62C18DEE"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1</w:t>
            </w:r>
          </w:p>
          <w:p w14:paraId="366ED7FA" w14:textId="77777777" w:rsidR="00E5474F" w:rsidRPr="00D04DA2" w:rsidRDefault="00E5474F" w:rsidP="00D04DA2">
            <w:pPr>
              <w:spacing w:after="0" w:line="240" w:lineRule="auto"/>
              <w:contextualSpacing/>
              <w:rPr>
                <w:rFonts w:cstheme="minorHAnsi"/>
                <w:sz w:val="20"/>
                <w:szCs w:val="20"/>
              </w:rPr>
            </w:pPr>
          </w:p>
          <w:p w14:paraId="5560569A" w14:textId="77777777" w:rsidR="00E5474F" w:rsidRPr="00D04DA2" w:rsidRDefault="00E5474F" w:rsidP="00D04DA2">
            <w:pPr>
              <w:spacing w:after="0" w:line="240" w:lineRule="auto"/>
              <w:contextualSpacing/>
              <w:rPr>
                <w:rFonts w:cstheme="minorHAnsi"/>
                <w:sz w:val="20"/>
                <w:szCs w:val="20"/>
              </w:rPr>
            </w:pPr>
          </w:p>
          <w:p w14:paraId="6BE74868" w14:textId="77777777" w:rsidR="00E5474F" w:rsidRPr="00D04DA2" w:rsidRDefault="00E5474F" w:rsidP="00D04DA2">
            <w:pPr>
              <w:spacing w:after="0" w:line="240" w:lineRule="auto"/>
              <w:contextualSpacing/>
              <w:rPr>
                <w:rFonts w:cstheme="minorHAnsi"/>
                <w:color w:val="000000" w:themeColor="text1"/>
                <w:sz w:val="20"/>
                <w:szCs w:val="20"/>
              </w:rPr>
            </w:pPr>
          </w:p>
          <w:p w14:paraId="22D19E4A" w14:textId="77777777" w:rsidR="00E5474F" w:rsidRPr="00D04DA2" w:rsidRDefault="00E5474F" w:rsidP="00D04DA2">
            <w:pPr>
              <w:spacing w:after="0" w:line="240" w:lineRule="auto"/>
              <w:contextualSpacing/>
              <w:rPr>
                <w:rFonts w:cstheme="minorHAnsi"/>
                <w:sz w:val="20"/>
                <w:szCs w:val="20"/>
              </w:rPr>
            </w:pPr>
          </w:p>
        </w:tc>
        <w:tc>
          <w:tcPr>
            <w:tcW w:w="1341" w:type="dxa"/>
            <w:tcBorders>
              <w:top w:val="single" w:sz="4" w:space="0" w:color="auto"/>
              <w:left w:val="single" w:sz="4" w:space="0" w:color="auto"/>
              <w:bottom w:val="single" w:sz="4" w:space="0" w:color="auto"/>
              <w:right w:val="nil"/>
            </w:tcBorders>
            <w:shd w:val="clear" w:color="auto" w:fill="auto"/>
          </w:tcPr>
          <w:p w14:paraId="5EB254E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Starting a business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A70CBF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44E4BC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New business density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BCF06C" w14:textId="381D2651" w:rsidR="00E5474F" w:rsidRPr="00D04DA2" w:rsidRDefault="00E5474F" w:rsidP="00D04DA2">
            <w:pPr>
              <w:spacing w:after="0" w:line="240" w:lineRule="auto"/>
              <w:contextualSpacing/>
              <w:rPr>
                <w:rFonts w:cstheme="minorHAnsi"/>
                <w:color w:val="333333"/>
                <w:sz w:val="20"/>
                <w:szCs w:val="20"/>
              </w:rPr>
            </w:pPr>
            <w:r w:rsidRPr="00D04DA2">
              <w:rPr>
                <w:rFonts w:cstheme="minorHAnsi"/>
                <w:color w:val="333333"/>
                <w:sz w:val="20"/>
                <w:szCs w:val="20"/>
              </w:rPr>
              <w:t>Number of newly registered companies per 1,000 working-age people (those ages 15</w:t>
            </w:r>
            <w:r w:rsidR="005C5F93" w:rsidRPr="00D04DA2">
              <w:rPr>
                <w:rFonts w:cstheme="minorHAnsi"/>
                <w:color w:val="333333"/>
                <w:sz w:val="20"/>
                <w:szCs w:val="20"/>
              </w:rPr>
              <w:t>-</w:t>
            </w:r>
            <w:r w:rsidRPr="00D04DA2">
              <w:rPr>
                <w:rFonts w:cstheme="minorHAnsi"/>
                <w:color w:val="333333"/>
                <w:sz w:val="20"/>
                <w:szCs w:val="20"/>
              </w:rPr>
              <w:t>64)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D6039C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World Bank Group </w:t>
            </w:r>
          </w:p>
        </w:tc>
        <w:tc>
          <w:tcPr>
            <w:tcW w:w="1341" w:type="dxa"/>
            <w:tcBorders>
              <w:top w:val="single" w:sz="4" w:space="0" w:color="auto"/>
              <w:left w:val="nil"/>
              <w:bottom w:val="single" w:sz="4" w:space="0" w:color="auto"/>
              <w:right w:val="single" w:sz="4" w:space="0" w:color="auto"/>
            </w:tcBorders>
            <w:shd w:val="clear" w:color="auto" w:fill="auto"/>
          </w:tcPr>
          <w:p w14:paraId="0F943E6A" w14:textId="1D5164B0" w:rsidR="00E5474F" w:rsidRPr="00D04DA2" w:rsidRDefault="00AA3F33" w:rsidP="00D04DA2">
            <w:pPr>
              <w:spacing w:after="0" w:line="240" w:lineRule="auto"/>
              <w:contextualSpacing/>
              <w:rPr>
                <w:rFonts w:cstheme="minorHAnsi"/>
                <w:color w:val="333333"/>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65EF736" w14:textId="77777777" w:rsidR="00541578" w:rsidRPr="00D04DA2" w:rsidRDefault="00E5474F" w:rsidP="00D04DA2">
            <w:pPr>
              <w:spacing w:after="0" w:line="240" w:lineRule="auto"/>
              <w:contextualSpacing/>
              <w:rPr>
                <w:rFonts w:cstheme="minorHAnsi"/>
                <w:color w:val="333333"/>
                <w:sz w:val="20"/>
                <w:szCs w:val="20"/>
              </w:rPr>
            </w:pPr>
            <w:r w:rsidRPr="00D04DA2">
              <w:rPr>
                <w:rFonts w:cstheme="minorHAnsi"/>
                <w:color w:val="333333"/>
                <w:sz w:val="20"/>
                <w:szCs w:val="20"/>
              </w:rPr>
              <w:t>The Entrepreneurship Database of the World Bank collects cross-country data on new business registration and facilitates a greater understanding of the dynamics of formal private enterprises around the world.</w:t>
            </w:r>
          </w:p>
          <w:p w14:paraId="117C6C6C" w14:textId="77777777" w:rsidR="00541578" w:rsidRPr="00D04DA2" w:rsidRDefault="00541578" w:rsidP="00D04DA2">
            <w:pPr>
              <w:spacing w:after="0" w:line="240" w:lineRule="auto"/>
              <w:contextualSpacing/>
              <w:rPr>
                <w:rFonts w:cstheme="minorHAnsi"/>
                <w:color w:val="333333"/>
                <w:sz w:val="20"/>
                <w:szCs w:val="20"/>
              </w:rPr>
            </w:pPr>
          </w:p>
          <w:p w14:paraId="452B1CCF" w14:textId="243E9F92" w:rsidR="00E5474F" w:rsidRPr="00D04DA2" w:rsidRDefault="00E5474F" w:rsidP="00D04DA2">
            <w:pPr>
              <w:spacing w:after="0" w:line="240" w:lineRule="auto"/>
              <w:contextualSpacing/>
              <w:rPr>
                <w:rFonts w:cstheme="minorHAnsi"/>
                <w:color w:val="333333"/>
                <w:sz w:val="20"/>
                <w:szCs w:val="20"/>
              </w:rPr>
            </w:pPr>
            <w:r w:rsidRPr="00D04DA2">
              <w:rPr>
                <w:rFonts w:cstheme="minorHAnsi"/>
                <w:color w:val="333333"/>
                <w:sz w:val="20"/>
                <w:szCs w:val="20"/>
              </w:rPr>
              <w:t>The main indicator measures new business entry density, which is the number of newly registered firms, in which ownership liability is limited to its investment, per calendar year, normalized by population (e.g.</w:t>
            </w:r>
            <w:r w:rsidR="00A053DD" w:rsidRPr="00D04DA2">
              <w:rPr>
                <w:rFonts w:cstheme="minorHAnsi"/>
                <w:color w:val="333333"/>
                <w:sz w:val="20"/>
                <w:szCs w:val="20"/>
              </w:rPr>
              <w:t>,</w:t>
            </w:r>
            <w:r w:rsidRPr="00D04DA2">
              <w:rPr>
                <w:rFonts w:cstheme="minorHAnsi"/>
                <w:color w:val="333333"/>
                <w:sz w:val="20"/>
                <w:szCs w:val="20"/>
              </w:rPr>
              <w:t xml:space="preserve"> there are about 18 new limited liability companies per 1,000 adults in New Zealand while there are 2 new limited liability companies per 1,000 adults in Kazakhstan).</w:t>
            </w:r>
          </w:p>
        </w:tc>
        <w:tc>
          <w:tcPr>
            <w:tcW w:w="1485" w:type="dxa"/>
            <w:tcBorders>
              <w:top w:val="single" w:sz="4" w:space="0" w:color="auto"/>
              <w:left w:val="nil"/>
              <w:bottom w:val="single" w:sz="4" w:space="0" w:color="auto"/>
              <w:right w:val="single" w:sz="4" w:space="0" w:color="auto"/>
            </w:tcBorders>
          </w:tcPr>
          <w:p w14:paraId="36A5D7EE" w14:textId="410E122C"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1FD02CC" w14:textId="6584E72F"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2611E89" w14:textId="0683BE5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15</w:t>
            </w:r>
            <w:r w:rsidR="0081537B">
              <w:rPr>
                <w:rFonts w:cstheme="minorHAnsi"/>
                <w:color w:val="000000" w:themeColor="text1"/>
                <w:sz w:val="20"/>
                <w:szCs w:val="20"/>
              </w:rPr>
              <w:t>4</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24D93E17" w14:textId="5BEBC7DF" w:rsidR="00E5474F" w:rsidRPr="00D04DA2" w:rsidRDefault="003979DF"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17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30D607" w14:textId="27D9A1BC" w:rsidR="00E5474F" w:rsidRPr="00D04DA2" w:rsidRDefault="00FB4509" w:rsidP="00D04DA2">
            <w:pPr>
              <w:spacing w:after="0" w:line="240" w:lineRule="auto"/>
              <w:contextualSpacing/>
              <w:rPr>
                <w:rFonts w:cstheme="minorHAnsi"/>
                <w:sz w:val="20"/>
                <w:szCs w:val="20"/>
              </w:rPr>
            </w:pPr>
            <w:r w:rsidRPr="00D04DA2">
              <w:rPr>
                <w:rFonts w:cstheme="minorHAnsi"/>
                <w:sz w:val="20"/>
                <w:szCs w:val="20"/>
              </w:rPr>
              <w:t>Every 2 years</w:t>
            </w:r>
            <w:r w:rsidR="006F5E81" w:rsidRPr="00D04DA2">
              <w:rPr>
                <w:rFonts w:cstheme="minorHAnsi"/>
                <w:sz w:val="20"/>
                <w:szCs w:val="20"/>
              </w:rPr>
              <w:t>.</w:t>
            </w:r>
          </w:p>
          <w:p w14:paraId="602C0F6A" w14:textId="77777777" w:rsidR="00933F13" w:rsidRPr="00D04DA2" w:rsidRDefault="00933F13" w:rsidP="00D04DA2">
            <w:pPr>
              <w:spacing w:after="0" w:line="240" w:lineRule="auto"/>
              <w:contextualSpacing/>
              <w:rPr>
                <w:rFonts w:cstheme="minorHAnsi"/>
                <w:sz w:val="20"/>
                <w:szCs w:val="20"/>
              </w:rPr>
            </w:pPr>
          </w:p>
          <w:p w14:paraId="62DD19C0" w14:textId="2D330E63" w:rsidR="00E5474F" w:rsidRPr="00D04DA2" w:rsidRDefault="00756EBB" w:rsidP="00D04DA2">
            <w:pPr>
              <w:spacing w:after="0" w:line="240" w:lineRule="auto"/>
              <w:contextualSpacing/>
              <w:rPr>
                <w:rFonts w:cstheme="minorHAnsi"/>
                <w:sz w:val="20"/>
                <w:szCs w:val="20"/>
              </w:rPr>
            </w:pPr>
            <w:r w:rsidRPr="00D04DA2">
              <w:rPr>
                <w:rFonts w:cstheme="minorHAnsi"/>
                <w:sz w:val="20"/>
                <w:szCs w:val="20"/>
              </w:rPr>
              <w:t>The indicator is published for 2006-2018</w:t>
            </w:r>
            <w:r w:rsidR="009D106C" w:rsidRPr="00D04DA2">
              <w:rPr>
                <w:rFonts w:cstheme="minorHAnsi"/>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5731CC7E"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https://data.worldbank.org/indicator/IC.BUS.NDNS.ZS</w:t>
            </w:r>
          </w:p>
          <w:p w14:paraId="2C7EE447" w14:textId="77777777" w:rsidR="00E5474F" w:rsidRPr="00D04DA2" w:rsidRDefault="00E5474F" w:rsidP="00D04DA2">
            <w:pPr>
              <w:spacing w:after="0" w:line="240" w:lineRule="auto"/>
              <w:contextualSpacing/>
              <w:rPr>
                <w:rFonts w:cstheme="minorHAnsi"/>
                <w:color w:val="0563C1"/>
                <w:sz w:val="20"/>
                <w:szCs w:val="20"/>
                <w:u w:val="single"/>
              </w:rPr>
            </w:pPr>
          </w:p>
          <w:p w14:paraId="2639A7AB"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https://www.doingbusiness.org/en/data/exploretopics/entrepreneurship</w:t>
            </w:r>
          </w:p>
        </w:tc>
      </w:tr>
      <w:tr w:rsidR="00E5474F" w:rsidRPr="00D04DA2" w14:paraId="72474F91" w14:textId="77777777" w:rsidTr="00E011B8">
        <w:trPr>
          <w:trHeight w:val="275"/>
        </w:trPr>
        <w:tc>
          <w:tcPr>
            <w:tcW w:w="510" w:type="dxa"/>
            <w:tcBorders>
              <w:top w:val="single" w:sz="4" w:space="0" w:color="auto"/>
              <w:left w:val="single" w:sz="4" w:space="0" w:color="auto"/>
              <w:bottom w:val="single" w:sz="4" w:space="0" w:color="auto"/>
              <w:right w:val="nil"/>
            </w:tcBorders>
          </w:tcPr>
          <w:p w14:paraId="56F0AE3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2</w:t>
            </w:r>
          </w:p>
        </w:tc>
        <w:tc>
          <w:tcPr>
            <w:tcW w:w="1341" w:type="dxa"/>
            <w:tcBorders>
              <w:top w:val="single" w:sz="4" w:space="0" w:color="auto"/>
              <w:left w:val="single" w:sz="4" w:space="0" w:color="auto"/>
              <w:bottom w:val="single" w:sz="4" w:space="0" w:color="auto"/>
              <w:right w:val="nil"/>
            </w:tcBorders>
          </w:tcPr>
          <w:p w14:paraId="6A59088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Starting a business</w:t>
            </w:r>
          </w:p>
        </w:tc>
        <w:tc>
          <w:tcPr>
            <w:tcW w:w="1341" w:type="dxa"/>
            <w:tcBorders>
              <w:top w:val="single" w:sz="4" w:space="0" w:color="auto"/>
              <w:left w:val="single" w:sz="4" w:space="0" w:color="auto"/>
              <w:bottom w:val="single" w:sz="4" w:space="0" w:color="auto"/>
              <w:right w:val="single" w:sz="4" w:space="0" w:color="auto"/>
            </w:tcBorders>
          </w:tcPr>
          <w:p w14:paraId="74A980A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25BA784B" w14:textId="2752087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Administrative burden on start-ups score</w:t>
            </w:r>
            <w:r w:rsidR="00AF38A8">
              <w:rPr>
                <w:rFonts w:cstheme="minorHAnsi"/>
                <w:color w:val="000000" w:themeColor="text1"/>
                <w:sz w:val="20"/>
                <w:szCs w:val="20"/>
              </w:rPr>
              <w:t xml:space="preserve"> (</w:t>
            </w:r>
            <w:r w:rsidR="00AF38A8" w:rsidRPr="00D04DA2">
              <w:rPr>
                <w:rFonts w:cstheme="minorHAnsi"/>
                <w:color w:val="000000" w:themeColor="text1"/>
                <w:sz w:val="20"/>
                <w:szCs w:val="20"/>
              </w:rPr>
              <w:t xml:space="preserve">Product </w:t>
            </w:r>
            <w:r w:rsidR="00AF38A8">
              <w:rPr>
                <w:rFonts w:cstheme="minorHAnsi"/>
                <w:color w:val="000000" w:themeColor="text1"/>
                <w:sz w:val="20"/>
                <w:szCs w:val="20"/>
              </w:rPr>
              <w:t>M</w:t>
            </w:r>
            <w:r w:rsidR="00AF38A8" w:rsidRPr="00D04DA2">
              <w:rPr>
                <w:rFonts w:cstheme="minorHAnsi"/>
                <w:color w:val="000000" w:themeColor="text1"/>
                <w:sz w:val="20"/>
                <w:szCs w:val="20"/>
              </w:rPr>
              <w:t xml:space="preserve">arket </w:t>
            </w:r>
            <w:r w:rsidR="00AF38A8">
              <w:rPr>
                <w:rFonts w:cstheme="minorHAnsi"/>
                <w:color w:val="000000" w:themeColor="text1"/>
                <w:sz w:val="20"/>
                <w:szCs w:val="20"/>
              </w:rPr>
              <w:t>R</w:t>
            </w:r>
            <w:r w:rsidR="00AF38A8" w:rsidRPr="00D04DA2">
              <w:rPr>
                <w:rFonts w:cstheme="minorHAnsi"/>
                <w:color w:val="000000" w:themeColor="text1"/>
                <w:sz w:val="20"/>
                <w:szCs w:val="20"/>
              </w:rPr>
              <w:t>egulation indicator</w:t>
            </w:r>
            <w:r w:rsidR="00AF38A8">
              <w:rPr>
                <w:rFonts w:cstheme="minorHAnsi"/>
                <w:color w:val="000000" w:themeColor="text1"/>
                <w:sz w:val="20"/>
                <w:szCs w:val="20"/>
              </w:rPr>
              <w:t>s)</w:t>
            </w:r>
          </w:p>
        </w:tc>
        <w:tc>
          <w:tcPr>
            <w:tcW w:w="1080" w:type="dxa"/>
            <w:tcBorders>
              <w:top w:val="single" w:sz="4" w:space="0" w:color="auto"/>
              <w:left w:val="single" w:sz="4" w:space="0" w:color="auto"/>
              <w:bottom w:val="single" w:sz="4" w:space="0" w:color="auto"/>
              <w:right w:val="single" w:sz="4" w:space="0" w:color="auto"/>
            </w:tcBorders>
          </w:tcPr>
          <w:p w14:paraId="7DA58A11" w14:textId="6B28FA75" w:rsidR="00E5474F" w:rsidRPr="00D04DA2" w:rsidRDefault="00D141CA" w:rsidP="00D04DA2">
            <w:pPr>
              <w:spacing w:after="0" w:line="240" w:lineRule="auto"/>
              <w:contextualSpacing/>
              <w:rPr>
                <w:rFonts w:eastAsia="Calibri" w:cstheme="minorHAnsi"/>
                <w:sz w:val="20"/>
                <w:szCs w:val="20"/>
              </w:rPr>
            </w:pPr>
            <w:r w:rsidRPr="00D04DA2">
              <w:rPr>
                <w:rFonts w:eastAsia="Calibri" w:cstheme="minorHAnsi"/>
                <w:sz w:val="20"/>
                <w:szCs w:val="20"/>
              </w:rPr>
              <w:t>Scale</w:t>
            </w:r>
            <w:r w:rsidR="00E5474F" w:rsidRPr="00D04DA2">
              <w:rPr>
                <w:rFonts w:eastAsia="Calibri" w:cstheme="minorHAnsi"/>
                <w:sz w:val="20"/>
                <w:szCs w:val="20"/>
              </w:rPr>
              <w:t xml:space="preserve"> </w:t>
            </w:r>
            <w:r w:rsidR="00650860" w:rsidRPr="00D04DA2">
              <w:rPr>
                <w:rFonts w:eastAsia="Calibri" w:cstheme="minorHAnsi"/>
                <w:sz w:val="20"/>
                <w:szCs w:val="20"/>
              </w:rPr>
              <w:t xml:space="preserve">of </w:t>
            </w:r>
            <w:r w:rsidR="00687278" w:rsidRPr="00D04DA2">
              <w:rPr>
                <w:rFonts w:eastAsia="Calibri" w:cstheme="minorHAnsi"/>
                <w:sz w:val="20"/>
                <w:szCs w:val="20"/>
              </w:rPr>
              <w:t>0-6</w:t>
            </w:r>
            <w:r w:rsidR="00944DD8" w:rsidRPr="00D04DA2">
              <w:rPr>
                <w:rFonts w:eastAsia="Calibri" w:cstheme="minorHAnsi"/>
                <w:sz w:val="20"/>
                <w:szCs w:val="20"/>
              </w:rPr>
              <w:t xml:space="preserve"> (</w:t>
            </w:r>
            <w:r w:rsidR="00E5474F" w:rsidRPr="00D04DA2">
              <w:rPr>
                <w:rFonts w:eastAsia="Calibri" w:cstheme="minorHAnsi"/>
                <w:sz w:val="20"/>
                <w:szCs w:val="20"/>
              </w:rPr>
              <w:t>where a lower value reflects a more business friendly answer</w:t>
            </w:r>
            <w:r w:rsidR="00944DD8" w:rsidRPr="00D04DA2">
              <w:rPr>
                <w:rFonts w:eastAsia="Calibri" w:cstheme="minorHAnsi"/>
                <w:sz w:val="20"/>
                <w:szCs w:val="20"/>
              </w:rPr>
              <w:t>)</w:t>
            </w:r>
          </w:p>
          <w:p w14:paraId="52AEB08D" w14:textId="77777777" w:rsidR="00E5474F" w:rsidRPr="00D04DA2" w:rsidRDefault="00E5474F" w:rsidP="00D04DA2">
            <w:pPr>
              <w:spacing w:after="0" w:line="240" w:lineRule="auto"/>
              <w:contextualSpacing/>
              <w:rPr>
                <w:rFonts w:eastAsia="Calibri" w:cstheme="minorHAnsi"/>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2B7ED2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OECD</w:t>
            </w:r>
          </w:p>
        </w:tc>
        <w:tc>
          <w:tcPr>
            <w:tcW w:w="1341" w:type="dxa"/>
            <w:tcBorders>
              <w:top w:val="single" w:sz="4" w:space="0" w:color="auto"/>
              <w:left w:val="nil"/>
              <w:bottom w:val="single" w:sz="4" w:space="0" w:color="auto"/>
              <w:right w:val="single" w:sz="4" w:space="0" w:color="auto"/>
            </w:tcBorders>
            <w:shd w:val="clear" w:color="auto" w:fill="auto"/>
          </w:tcPr>
          <w:p w14:paraId="351212DD" w14:textId="56908695" w:rsidR="00E5474F" w:rsidRPr="00D04DA2" w:rsidRDefault="00192697" w:rsidP="00D04DA2">
            <w:pPr>
              <w:spacing w:after="0" w:line="240" w:lineRule="auto"/>
              <w:contextualSpacing/>
              <w:rPr>
                <w:rFonts w:eastAsia="Calibri" w:cstheme="minorHAnsi"/>
                <w:color w:val="000000" w:themeColor="text1"/>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D5B1E15" w14:textId="3C34338A"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Product Market Regulation</w:t>
            </w:r>
            <w:r w:rsidR="006C35B6" w:rsidRPr="00D04DA2">
              <w:rPr>
                <w:rFonts w:eastAsia="Calibri" w:cstheme="minorHAnsi"/>
                <w:color w:val="000000" w:themeColor="text1"/>
                <w:sz w:val="20"/>
                <w:szCs w:val="20"/>
              </w:rPr>
              <w:t xml:space="preserve"> (PMR)</w:t>
            </w:r>
            <w:r w:rsidRPr="00D04DA2">
              <w:rPr>
                <w:rFonts w:eastAsia="Calibri" w:cstheme="minorHAnsi"/>
                <w:color w:val="000000" w:themeColor="text1"/>
                <w:sz w:val="20"/>
                <w:szCs w:val="20"/>
              </w:rPr>
              <w:t xml:space="preserve"> indicators of the OECD measure the extent to which regulatory settings promote or inhibit competition. These economy-wide indicators summarize a wide array of regulatory provisions across the OECD countries (including state control, barriers to entrepreneurship, international trade, and investment).</w:t>
            </w:r>
          </w:p>
          <w:p w14:paraId="2C9B2FCF" w14:textId="77777777" w:rsidR="009D106C" w:rsidRPr="00D04DA2" w:rsidRDefault="009D106C" w:rsidP="00D04DA2">
            <w:pPr>
              <w:spacing w:after="0" w:line="240" w:lineRule="auto"/>
              <w:contextualSpacing/>
              <w:rPr>
                <w:rFonts w:eastAsia="Calibri" w:cstheme="minorHAnsi"/>
                <w:color w:val="000000" w:themeColor="text1"/>
                <w:sz w:val="20"/>
                <w:szCs w:val="20"/>
              </w:rPr>
            </w:pPr>
          </w:p>
          <w:p w14:paraId="116A8161" w14:textId="07843993" w:rsidR="00E5474F" w:rsidRPr="00D04DA2" w:rsidRDefault="00153FC8" w:rsidP="00D04DA2">
            <w:pPr>
              <w:spacing w:after="0" w:line="240" w:lineRule="auto"/>
              <w:contextualSpacing/>
              <w:rPr>
                <w:rFonts w:cstheme="minorHAnsi"/>
                <w:color w:val="000000" w:themeColor="text1"/>
                <w:sz w:val="20"/>
                <w:szCs w:val="20"/>
              </w:rPr>
            </w:pPr>
            <w:r w:rsidRPr="00D04DA2">
              <w:rPr>
                <w:rFonts w:eastAsia="Calibri" w:cstheme="minorHAnsi"/>
                <w:color w:val="000000" w:themeColor="text1"/>
                <w:sz w:val="20"/>
                <w:szCs w:val="20"/>
              </w:rPr>
              <w:t xml:space="preserve">The main PMR indicator is based on two components, </w:t>
            </w:r>
            <w:r w:rsidR="000B4F4C" w:rsidRPr="00D04DA2">
              <w:rPr>
                <w:rFonts w:eastAsia="Calibri" w:cstheme="minorHAnsi"/>
                <w:color w:val="000000" w:themeColor="text1"/>
                <w:sz w:val="20"/>
                <w:szCs w:val="20"/>
              </w:rPr>
              <w:t>the distortions induced by state involvement, and the barriers to domestic and foreign entry.</w:t>
            </w:r>
          </w:p>
        </w:tc>
        <w:tc>
          <w:tcPr>
            <w:tcW w:w="1485" w:type="dxa"/>
            <w:tcBorders>
              <w:top w:val="single" w:sz="4" w:space="0" w:color="auto"/>
              <w:left w:val="single" w:sz="4" w:space="0" w:color="auto"/>
              <w:bottom w:val="single" w:sz="4" w:space="0" w:color="auto"/>
              <w:right w:val="single" w:sz="4" w:space="0" w:color="auto"/>
            </w:tcBorders>
          </w:tcPr>
          <w:p w14:paraId="1BD4374C" w14:textId="12889EC8" w:rsidR="00E5474F" w:rsidRPr="00D04DA2" w:rsidRDefault="00756EBB"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Policy metric</w:t>
            </w:r>
            <w:r w:rsidR="00753AC0" w:rsidRPr="00D04DA2">
              <w:rPr>
                <w:rFonts w:cstheme="minorHAnsi"/>
                <w:color w:val="000000" w:themeColor="text1"/>
                <w:sz w:val="20"/>
                <w:szCs w:val="20"/>
              </w:rPr>
              <w:t>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D62FA6A"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Global</w:t>
            </w:r>
          </w:p>
          <w:p w14:paraId="3DF21897" w14:textId="6553BDE1" w:rsidR="00E5474F" w:rsidRPr="00D04DA2" w:rsidRDefault="00435344" w:rsidP="00D04DA2">
            <w:pPr>
              <w:spacing w:after="0" w:line="240" w:lineRule="auto"/>
              <w:contextualSpacing/>
              <w:rPr>
                <w:rFonts w:cstheme="minorHAnsi"/>
                <w:color w:val="FF0000"/>
                <w:sz w:val="20"/>
                <w:szCs w:val="20"/>
              </w:rPr>
            </w:pPr>
            <w:r w:rsidRPr="00D04DA2">
              <w:rPr>
                <w:rFonts w:cstheme="minorHAnsi"/>
                <w:sz w:val="20"/>
                <w:szCs w:val="20"/>
              </w:rPr>
              <w:t>(Split into OECD and non-OECD economies)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A63519" w14:textId="33E53C93" w:rsidR="00E5474F" w:rsidRPr="00D04DA2" w:rsidRDefault="00C6749C" w:rsidP="00D04DA2">
            <w:pPr>
              <w:spacing w:after="0" w:line="240" w:lineRule="auto"/>
              <w:contextualSpacing/>
              <w:rPr>
                <w:rFonts w:cstheme="minorHAnsi"/>
                <w:color w:val="000000"/>
                <w:sz w:val="20"/>
                <w:szCs w:val="20"/>
              </w:rPr>
            </w:pPr>
            <w:r>
              <w:rPr>
                <w:rFonts w:cstheme="minorHAnsi"/>
                <w:color w:val="000000" w:themeColor="text1"/>
                <w:sz w:val="20"/>
                <w:szCs w:val="20"/>
              </w:rPr>
              <w:t>49</w:t>
            </w:r>
            <w:r w:rsidR="00E5474F" w:rsidRPr="00D04DA2">
              <w:rPr>
                <w:rFonts w:cstheme="minorHAnsi"/>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73B0566D" w14:textId="4C1F9F9D" w:rsidR="00E5474F" w:rsidRPr="00D04DA2" w:rsidRDefault="003979DF"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0 economies</w:t>
            </w:r>
          </w:p>
        </w:tc>
        <w:tc>
          <w:tcPr>
            <w:tcW w:w="1418" w:type="dxa"/>
            <w:tcBorders>
              <w:top w:val="single" w:sz="4" w:space="0" w:color="auto"/>
              <w:left w:val="single" w:sz="4" w:space="0" w:color="auto"/>
              <w:bottom w:val="single" w:sz="4" w:space="0" w:color="auto"/>
              <w:right w:val="single" w:sz="4" w:space="0" w:color="auto"/>
            </w:tcBorders>
          </w:tcPr>
          <w:p w14:paraId="6FF3468A" w14:textId="3B2E389D"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Every </w:t>
            </w:r>
            <w:r w:rsidR="0039691B" w:rsidRPr="00D04DA2">
              <w:rPr>
                <w:rFonts w:cstheme="minorHAnsi"/>
                <w:sz w:val="20"/>
                <w:szCs w:val="20"/>
              </w:rPr>
              <w:t>5</w:t>
            </w:r>
            <w:r w:rsidRPr="00D04DA2">
              <w:rPr>
                <w:rFonts w:cstheme="minorHAnsi"/>
                <w:sz w:val="20"/>
                <w:szCs w:val="20"/>
              </w:rPr>
              <w:t xml:space="preserve"> years</w:t>
            </w:r>
            <w:r w:rsidR="006F5E81" w:rsidRPr="00D04DA2">
              <w:rPr>
                <w:rFonts w:cstheme="minorHAnsi"/>
                <w:sz w:val="20"/>
                <w:szCs w:val="20"/>
              </w:rPr>
              <w:t>.</w:t>
            </w:r>
          </w:p>
          <w:p w14:paraId="78501F1F" w14:textId="77777777" w:rsidR="00933F13" w:rsidRPr="00D04DA2" w:rsidRDefault="00933F13" w:rsidP="00D04DA2">
            <w:pPr>
              <w:spacing w:after="0" w:line="240" w:lineRule="auto"/>
              <w:contextualSpacing/>
              <w:rPr>
                <w:rFonts w:cstheme="minorHAnsi"/>
                <w:sz w:val="20"/>
                <w:szCs w:val="20"/>
              </w:rPr>
            </w:pPr>
          </w:p>
          <w:p w14:paraId="13A1ADD1" w14:textId="0635F84C" w:rsidR="00FB6D1F" w:rsidRPr="00D04DA2" w:rsidRDefault="000D22F3" w:rsidP="00D04DA2">
            <w:pPr>
              <w:spacing w:after="0" w:line="240" w:lineRule="auto"/>
              <w:contextualSpacing/>
              <w:rPr>
                <w:rFonts w:cstheme="minorHAnsi"/>
                <w:sz w:val="20"/>
                <w:szCs w:val="20"/>
              </w:rPr>
            </w:pPr>
            <w:r w:rsidRPr="00D04DA2">
              <w:rPr>
                <w:rFonts w:cstheme="minorHAnsi"/>
                <w:sz w:val="20"/>
                <w:szCs w:val="20"/>
              </w:rPr>
              <w:t xml:space="preserve">The indicator is published for 1998-2018. </w:t>
            </w:r>
          </w:p>
          <w:p w14:paraId="024FA434" w14:textId="31321A44" w:rsidR="00E5474F" w:rsidRPr="00D04DA2" w:rsidRDefault="00A053DD" w:rsidP="00D04DA2">
            <w:pPr>
              <w:spacing w:after="0" w:line="240" w:lineRule="auto"/>
              <w:contextualSpacing/>
              <w:rPr>
                <w:rFonts w:cstheme="minorHAnsi"/>
                <w:sz w:val="20"/>
                <w:szCs w:val="20"/>
              </w:rPr>
            </w:pPr>
            <w:r w:rsidRPr="00D04DA2">
              <w:rPr>
                <w:rFonts w:cstheme="minorHAnsi"/>
                <w:sz w:val="20"/>
                <w:szCs w:val="20"/>
              </w:rPr>
              <w:t>Note that methodology changed considerably for 2018 rendering it incomparable to previous datasets.</w:t>
            </w:r>
          </w:p>
        </w:tc>
        <w:tc>
          <w:tcPr>
            <w:tcW w:w="1664" w:type="dxa"/>
            <w:tcBorders>
              <w:top w:val="single" w:sz="4" w:space="0" w:color="auto"/>
              <w:left w:val="nil"/>
              <w:bottom w:val="single" w:sz="4" w:space="0" w:color="auto"/>
              <w:right w:val="single" w:sz="4" w:space="0" w:color="auto"/>
            </w:tcBorders>
          </w:tcPr>
          <w:p w14:paraId="445B0122"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https://www.oecd.org/economy/reform/indicators-of-product-market-regulation/</w:t>
            </w:r>
          </w:p>
        </w:tc>
      </w:tr>
      <w:tr w:rsidR="00E5474F" w:rsidRPr="00D04DA2" w14:paraId="49FEC629" w14:textId="77777777" w:rsidTr="167C0426">
        <w:trPr>
          <w:trHeight w:val="275"/>
        </w:trPr>
        <w:tc>
          <w:tcPr>
            <w:tcW w:w="510" w:type="dxa"/>
            <w:tcBorders>
              <w:top w:val="single" w:sz="4" w:space="0" w:color="auto"/>
              <w:left w:val="single" w:sz="4" w:space="0" w:color="auto"/>
              <w:bottom w:val="single" w:sz="4" w:space="0" w:color="auto"/>
              <w:right w:val="nil"/>
            </w:tcBorders>
          </w:tcPr>
          <w:p w14:paraId="34C452D4"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w:t>
            </w:r>
          </w:p>
        </w:tc>
        <w:tc>
          <w:tcPr>
            <w:tcW w:w="1341" w:type="dxa"/>
            <w:tcBorders>
              <w:top w:val="single" w:sz="4" w:space="0" w:color="auto"/>
              <w:left w:val="single" w:sz="4" w:space="0" w:color="auto"/>
              <w:bottom w:val="single" w:sz="4" w:space="0" w:color="auto"/>
              <w:right w:val="nil"/>
            </w:tcBorders>
          </w:tcPr>
          <w:p w14:paraId="6AAA713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Starting a business</w:t>
            </w:r>
          </w:p>
        </w:tc>
        <w:tc>
          <w:tcPr>
            <w:tcW w:w="1341" w:type="dxa"/>
            <w:tcBorders>
              <w:top w:val="single" w:sz="4" w:space="0" w:color="auto"/>
              <w:left w:val="single" w:sz="4" w:space="0" w:color="auto"/>
              <w:bottom w:val="single" w:sz="4" w:space="0" w:color="auto"/>
              <w:right w:val="single" w:sz="4" w:space="0" w:color="auto"/>
            </w:tcBorders>
          </w:tcPr>
          <w:p w14:paraId="27C75CB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263DE394"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Total early-stage entrepreneurial activity (TEA) - for starting or running a new business</w:t>
            </w:r>
          </w:p>
          <w:p w14:paraId="2F507697" w14:textId="77777777" w:rsidR="00E5474F" w:rsidRPr="00D04DA2" w:rsidRDefault="00E5474F" w:rsidP="00D04DA2">
            <w:pPr>
              <w:spacing w:after="0" w:line="240" w:lineRule="auto"/>
              <w:contextualSpacing/>
              <w:rPr>
                <w:rFonts w:eastAsia="Calibr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CE23FD2" w14:textId="2F9EC03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Percentage of adult population (1</w:t>
            </w:r>
            <w:r w:rsidR="004677D1" w:rsidRPr="00D04DA2">
              <w:rPr>
                <w:rFonts w:cstheme="minorHAnsi"/>
                <w:color w:val="000000" w:themeColor="text1"/>
                <w:sz w:val="20"/>
                <w:szCs w:val="20"/>
              </w:rPr>
              <w:t>8</w:t>
            </w:r>
            <w:r w:rsidRPr="00D04DA2">
              <w:rPr>
                <w:rFonts w:cstheme="minorHAnsi"/>
                <w:color w:val="000000" w:themeColor="text1"/>
                <w:sz w:val="20"/>
                <w:szCs w:val="20"/>
              </w:rPr>
              <w:t>-64)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EB72146"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 Entrepreneurship Monitor</w:t>
            </w:r>
          </w:p>
        </w:tc>
        <w:tc>
          <w:tcPr>
            <w:tcW w:w="1341" w:type="dxa"/>
            <w:tcBorders>
              <w:top w:val="single" w:sz="4" w:space="0" w:color="auto"/>
              <w:left w:val="nil"/>
              <w:bottom w:val="single" w:sz="4" w:space="0" w:color="auto"/>
              <w:right w:val="single" w:sz="4" w:space="0" w:color="auto"/>
            </w:tcBorders>
            <w:shd w:val="clear" w:color="auto" w:fill="auto"/>
          </w:tcPr>
          <w:p w14:paraId="628446EE" w14:textId="70DA7DA1" w:rsidR="00E5474F" w:rsidRPr="00D04DA2" w:rsidRDefault="00AE1093"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759E068" w14:textId="05AF225E" w:rsidR="006B367D"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Global Entrepreneurship Monitor is a study of entrepreneurship. Through a vast, centrally coordinated, internationally executed data collection effort, the study provides information, comprehensive reports</w:t>
            </w:r>
            <w:r w:rsidR="00517D77"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 and interesting stories, which greatly enhance the understanding of the entre entrepreneurial phenomenon.</w:t>
            </w:r>
          </w:p>
          <w:p w14:paraId="729A96F9" w14:textId="77777777" w:rsidR="00A053DD" w:rsidRPr="00D04DA2" w:rsidRDefault="00A053DD" w:rsidP="00D04DA2">
            <w:pPr>
              <w:spacing w:after="0" w:line="240" w:lineRule="auto"/>
              <w:contextualSpacing/>
              <w:rPr>
                <w:rFonts w:eastAsia="Calibri" w:cstheme="minorHAnsi"/>
                <w:color w:val="000000" w:themeColor="text1"/>
                <w:sz w:val="20"/>
                <w:szCs w:val="20"/>
              </w:rPr>
            </w:pPr>
          </w:p>
          <w:p w14:paraId="07A203C3" w14:textId="35033612" w:rsidR="00E5474F" w:rsidRPr="00D04DA2" w:rsidRDefault="006B367D" w:rsidP="00D04DA2">
            <w:pPr>
              <w:spacing w:after="0" w:line="240" w:lineRule="auto"/>
              <w:contextualSpacing/>
              <w:rPr>
                <w:rFonts w:cstheme="minorHAnsi"/>
                <w:color w:val="000000"/>
                <w:sz w:val="20"/>
                <w:szCs w:val="20"/>
              </w:rPr>
            </w:pPr>
            <w:r w:rsidRPr="00D04DA2">
              <w:rPr>
                <w:rFonts w:eastAsia="Calibri" w:cstheme="minorHAnsi"/>
                <w:color w:val="000000" w:themeColor="text1"/>
                <w:sz w:val="20"/>
                <w:szCs w:val="20"/>
              </w:rPr>
              <w:t>The TEA</w:t>
            </w:r>
            <w:r w:rsidR="006D28C6" w:rsidRPr="00D04DA2">
              <w:rPr>
                <w:rFonts w:eastAsia="Calibri" w:cstheme="minorHAnsi"/>
                <w:color w:val="000000" w:themeColor="text1"/>
                <w:sz w:val="20"/>
                <w:szCs w:val="20"/>
              </w:rPr>
              <w:t xml:space="preserve"> indicator</w:t>
            </w:r>
            <w:r w:rsidRPr="00D04DA2">
              <w:rPr>
                <w:rFonts w:eastAsia="Calibri" w:cstheme="minorHAnsi"/>
                <w:color w:val="000000" w:themeColor="text1"/>
                <w:sz w:val="20"/>
                <w:szCs w:val="20"/>
              </w:rPr>
              <w:t xml:space="preserve"> </w:t>
            </w:r>
            <w:r w:rsidR="00EA40A0" w:rsidRPr="00D04DA2">
              <w:rPr>
                <w:rFonts w:eastAsia="Calibri" w:cstheme="minorHAnsi"/>
                <w:color w:val="000000" w:themeColor="text1"/>
                <w:sz w:val="20"/>
                <w:szCs w:val="20"/>
              </w:rPr>
              <w:t xml:space="preserve">is essentially the percentage of population who are either a nascent entrepreneur or owner-manager of a new business. </w:t>
            </w:r>
            <w:r w:rsidR="00E5474F" w:rsidRPr="00D04DA2">
              <w:rPr>
                <w:rFonts w:eastAsia="Calibri" w:cstheme="minorHAnsi"/>
                <w:color w:val="000000" w:themeColor="text1"/>
                <w:sz w:val="20"/>
                <w:szCs w:val="20"/>
              </w:rPr>
              <w:t xml:space="preserve"> </w:t>
            </w:r>
          </w:p>
        </w:tc>
        <w:tc>
          <w:tcPr>
            <w:tcW w:w="1485" w:type="dxa"/>
            <w:tcBorders>
              <w:top w:val="single" w:sz="4" w:space="0" w:color="auto"/>
              <w:left w:val="single" w:sz="4" w:space="0" w:color="auto"/>
              <w:bottom w:val="single" w:sz="4" w:space="0" w:color="auto"/>
              <w:right w:val="single" w:sz="4" w:space="0" w:color="auto"/>
            </w:tcBorders>
          </w:tcPr>
          <w:p w14:paraId="078EDA54" w14:textId="678210FD" w:rsidR="00E5474F" w:rsidRPr="00D04DA2" w:rsidRDefault="002A1994"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D770782" w14:textId="528D089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A6804DC" w14:textId="54590280" w:rsidR="00E5474F" w:rsidRPr="00D04DA2" w:rsidRDefault="00B4067A"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115</w:t>
            </w:r>
            <w:r w:rsidR="00E5474F" w:rsidRPr="00D04DA2">
              <w:rPr>
                <w:rFonts w:cstheme="minorHAnsi"/>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4D74A72D" w14:textId="3336478E" w:rsidR="00E5474F" w:rsidRPr="00D04DA2" w:rsidRDefault="002D24AF" w:rsidP="00D04DA2">
            <w:pPr>
              <w:spacing w:after="0" w:line="240" w:lineRule="auto"/>
              <w:contextualSpacing/>
              <w:rPr>
                <w:rFonts w:cstheme="minorHAnsi"/>
                <w:sz w:val="20"/>
                <w:szCs w:val="20"/>
              </w:rPr>
            </w:pPr>
            <w:r>
              <w:rPr>
                <w:rFonts w:cstheme="minorHAnsi"/>
                <w:sz w:val="20"/>
                <w:szCs w:val="20"/>
              </w:rPr>
              <w:t>9 economies</w:t>
            </w:r>
          </w:p>
        </w:tc>
        <w:tc>
          <w:tcPr>
            <w:tcW w:w="1418" w:type="dxa"/>
            <w:tcBorders>
              <w:top w:val="single" w:sz="4" w:space="0" w:color="auto"/>
              <w:left w:val="single" w:sz="4" w:space="0" w:color="auto"/>
              <w:bottom w:val="single" w:sz="4" w:space="0" w:color="auto"/>
              <w:right w:val="single" w:sz="4" w:space="0" w:color="auto"/>
            </w:tcBorders>
          </w:tcPr>
          <w:p w14:paraId="57D4632B" w14:textId="081EE77C"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Annual</w:t>
            </w:r>
            <w:r w:rsidR="007C37F1" w:rsidRPr="00D04DA2">
              <w:rPr>
                <w:rFonts w:cstheme="minorHAnsi"/>
                <w:sz w:val="20"/>
                <w:szCs w:val="20"/>
              </w:rPr>
              <w:t xml:space="preserve">. </w:t>
            </w:r>
            <w:r w:rsidRPr="00D04DA2">
              <w:rPr>
                <w:rFonts w:cstheme="minorHAnsi"/>
                <w:sz w:val="20"/>
                <w:szCs w:val="20"/>
              </w:rPr>
              <w:t>(While the GEM report is published every year, the datasets are only made available to the public 3 years after data collection.)</w:t>
            </w:r>
          </w:p>
          <w:p w14:paraId="4687631B" w14:textId="77777777" w:rsidR="001A1310" w:rsidRPr="00D04DA2" w:rsidRDefault="001A1310" w:rsidP="00D04DA2">
            <w:pPr>
              <w:spacing w:after="0" w:line="240" w:lineRule="auto"/>
              <w:contextualSpacing/>
              <w:rPr>
                <w:rFonts w:cstheme="minorHAnsi"/>
                <w:sz w:val="20"/>
                <w:szCs w:val="20"/>
              </w:rPr>
            </w:pPr>
          </w:p>
          <w:p w14:paraId="3491DF48" w14:textId="7840342C" w:rsidR="00E5474F" w:rsidRPr="00D04DA2" w:rsidRDefault="004976F9" w:rsidP="00D04DA2">
            <w:pPr>
              <w:spacing w:after="0" w:line="240" w:lineRule="auto"/>
              <w:contextualSpacing/>
              <w:rPr>
                <w:rFonts w:cstheme="minorHAnsi"/>
                <w:sz w:val="20"/>
                <w:szCs w:val="20"/>
              </w:rPr>
            </w:pPr>
            <w:r w:rsidRPr="00D04DA2">
              <w:rPr>
                <w:rFonts w:cstheme="minorHAnsi"/>
                <w:sz w:val="20"/>
                <w:szCs w:val="20"/>
              </w:rPr>
              <w:t>The indicator is published for 2001-2020</w:t>
            </w:r>
            <w:r w:rsidR="00A053DD" w:rsidRPr="00D04DA2">
              <w:rPr>
                <w:rFonts w:cstheme="minorHAnsi"/>
                <w:sz w:val="20"/>
                <w:szCs w:val="20"/>
              </w:rPr>
              <w:t>.</w:t>
            </w:r>
          </w:p>
        </w:tc>
        <w:tc>
          <w:tcPr>
            <w:tcW w:w="1664" w:type="dxa"/>
            <w:tcBorders>
              <w:top w:val="single" w:sz="4" w:space="0" w:color="auto"/>
              <w:left w:val="nil"/>
              <w:bottom w:val="single" w:sz="4" w:space="0" w:color="auto"/>
              <w:right w:val="single" w:sz="4" w:space="0" w:color="auto"/>
            </w:tcBorders>
          </w:tcPr>
          <w:p w14:paraId="66095E52" w14:textId="108308C6" w:rsidR="00E5474F" w:rsidRPr="00D04DA2" w:rsidRDefault="00FA1285" w:rsidP="00D04DA2">
            <w:pPr>
              <w:spacing w:after="0" w:line="240" w:lineRule="auto"/>
              <w:contextualSpacing/>
              <w:rPr>
                <w:rFonts w:cstheme="minorHAnsi"/>
                <w:color w:val="0563C1"/>
                <w:sz w:val="20"/>
                <w:szCs w:val="20"/>
                <w:u w:val="single"/>
              </w:rPr>
            </w:pPr>
            <w:hyperlink r:id="rId13" w:history="1">
              <w:r w:rsidR="0032519E" w:rsidRPr="00D04DA2">
                <w:rPr>
                  <w:rStyle w:val="Hyperlink"/>
                  <w:rFonts w:cstheme="minorHAnsi"/>
                  <w:sz w:val="20"/>
                  <w:szCs w:val="20"/>
                </w:rPr>
                <w:t>https://www.gemconsortium.org/reports/latest-global-report</w:t>
              </w:r>
            </w:hyperlink>
          </w:p>
          <w:p w14:paraId="5B2F8B45" w14:textId="0A29443F" w:rsidR="00E5474F" w:rsidRPr="00D04DA2" w:rsidRDefault="00E5474F" w:rsidP="00D04DA2">
            <w:pPr>
              <w:spacing w:after="0" w:line="240" w:lineRule="auto"/>
              <w:contextualSpacing/>
              <w:rPr>
                <w:rFonts w:cstheme="minorHAnsi"/>
                <w:color w:val="0563C1"/>
                <w:sz w:val="20"/>
                <w:szCs w:val="20"/>
                <w:u w:val="single"/>
              </w:rPr>
            </w:pPr>
          </w:p>
        </w:tc>
      </w:tr>
      <w:tr w:rsidR="00D365AC" w:rsidRPr="00D04DA2" w14:paraId="22F25732" w14:textId="77777777" w:rsidTr="167C0426">
        <w:trPr>
          <w:trHeight w:val="275"/>
        </w:trPr>
        <w:tc>
          <w:tcPr>
            <w:tcW w:w="510" w:type="dxa"/>
            <w:tcBorders>
              <w:top w:val="single" w:sz="4" w:space="0" w:color="auto"/>
              <w:left w:val="single" w:sz="4" w:space="0" w:color="auto"/>
              <w:bottom w:val="single" w:sz="4" w:space="0" w:color="auto"/>
              <w:right w:val="nil"/>
            </w:tcBorders>
          </w:tcPr>
          <w:p w14:paraId="4E04E28B"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lastRenderedPageBreak/>
              <w:t>4</w:t>
            </w:r>
          </w:p>
        </w:tc>
        <w:tc>
          <w:tcPr>
            <w:tcW w:w="1341" w:type="dxa"/>
            <w:tcBorders>
              <w:top w:val="single" w:sz="4" w:space="0" w:color="auto"/>
              <w:left w:val="single" w:sz="4" w:space="0" w:color="auto"/>
              <w:bottom w:val="single" w:sz="4" w:space="0" w:color="auto"/>
              <w:right w:val="nil"/>
            </w:tcBorders>
          </w:tcPr>
          <w:p w14:paraId="2C73CB8F"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Starting a business</w:t>
            </w:r>
          </w:p>
        </w:tc>
        <w:tc>
          <w:tcPr>
            <w:tcW w:w="1341" w:type="dxa"/>
            <w:tcBorders>
              <w:top w:val="single" w:sz="4" w:space="0" w:color="auto"/>
              <w:left w:val="single" w:sz="4" w:space="0" w:color="auto"/>
              <w:bottom w:val="single" w:sz="4" w:space="0" w:color="auto"/>
              <w:right w:val="single" w:sz="4" w:space="0" w:color="auto"/>
            </w:tcBorders>
          </w:tcPr>
          <w:p w14:paraId="7154F75A"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63A21FB2"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Established business ownership (EBO) - for running an established business</w:t>
            </w:r>
          </w:p>
          <w:p w14:paraId="5DA6CDFF" w14:textId="77777777" w:rsidR="00E5474F" w:rsidRPr="00D04DA2" w:rsidRDefault="00E5474F" w:rsidP="00D04DA2">
            <w:pPr>
              <w:spacing w:after="0" w:line="240" w:lineRule="auto"/>
              <w:contextualSpacing/>
              <w:rPr>
                <w:rFonts w:eastAsia="Calibr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39A3C6" w14:textId="41594159"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Percentage of adult population (1</w:t>
            </w:r>
            <w:r w:rsidR="004677D1" w:rsidRPr="00D04DA2">
              <w:rPr>
                <w:rFonts w:cstheme="minorHAnsi"/>
                <w:color w:val="000000" w:themeColor="text1"/>
                <w:sz w:val="20"/>
                <w:szCs w:val="20"/>
              </w:rPr>
              <w:t>8</w:t>
            </w:r>
            <w:r w:rsidRPr="00D04DA2">
              <w:rPr>
                <w:rFonts w:cstheme="minorHAnsi"/>
                <w:color w:val="000000" w:themeColor="text1"/>
                <w:sz w:val="20"/>
                <w:szCs w:val="20"/>
              </w:rPr>
              <w:t>-64)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54CD19A"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Global Entrepreneurship Monitor</w:t>
            </w:r>
          </w:p>
        </w:tc>
        <w:tc>
          <w:tcPr>
            <w:tcW w:w="1341" w:type="dxa"/>
            <w:tcBorders>
              <w:top w:val="single" w:sz="4" w:space="0" w:color="auto"/>
              <w:left w:val="nil"/>
              <w:bottom w:val="single" w:sz="4" w:space="0" w:color="auto"/>
              <w:right w:val="single" w:sz="4" w:space="0" w:color="auto"/>
            </w:tcBorders>
            <w:shd w:val="clear" w:color="auto" w:fill="auto"/>
          </w:tcPr>
          <w:p w14:paraId="5F11BF49" w14:textId="4CC0022E" w:rsidR="00E5474F" w:rsidRPr="00D04DA2" w:rsidRDefault="00AE1093"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150713D" w14:textId="23E77960"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Global Entrepreneurship Monitor is a study of entrepreneurship. Through a vast, centrally coordinated, internationally executed data collection effort, the study provides information, comprehensive reports</w:t>
            </w:r>
            <w:r w:rsidR="00E835A4"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 and interesting stories, which greatly enhance the understanding of the phenomenon.</w:t>
            </w:r>
          </w:p>
          <w:p w14:paraId="5F6DAB44" w14:textId="77777777" w:rsidR="00D365AC" w:rsidRPr="00D04DA2" w:rsidRDefault="00D365AC" w:rsidP="00D04DA2">
            <w:pPr>
              <w:spacing w:after="0" w:line="240" w:lineRule="auto"/>
              <w:contextualSpacing/>
              <w:rPr>
                <w:rFonts w:eastAsia="Calibri" w:cstheme="minorHAnsi"/>
                <w:color w:val="000000" w:themeColor="text1"/>
                <w:sz w:val="20"/>
                <w:szCs w:val="20"/>
              </w:rPr>
            </w:pPr>
          </w:p>
          <w:p w14:paraId="46E43227" w14:textId="68115566" w:rsidR="00E5474F" w:rsidRPr="00D04DA2" w:rsidRDefault="00D35C94" w:rsidP="00D04DA2">
            <w:pPr>
              <w:spacing w:after="0" w:line="240" w:lineRule="auto"/>
              <w:contextualSpacing/>
              <w:rPr>
                <w:rFonts w:cstheme="minorHAnsi"/>
                <w:color w:val="000000" w:themeColor="text1"/>
                <w:sz w:val="20"/>
                <w:szCs w:val="20"/>
              </w:rPr>
            </w:pPr>
            <w:r w:rsidRPr="00D04DA2">
              <w:rPr>
                <w:rFonts w:eastAsia="Calibri" w:cstheme="minorHAnsi"/>
                <w:color w:val="000000" w:themeColor="text1"/>
                <w:sz w:val="20"/>
                <w:szCs w:val="20"/>
              </w:rPr>
              <w:t>The EBO</w:t>
            </w:r>
            <w:r w:rsidR="006D28C6" w:rsidRPr="00D04DA2">
              <w:rPr>
                <w:rFonts w:eastAsia="Calibri" w:cstheme="minorHAnsi"/>
                <w:color w:val="000000" w:themeColor="text1"/>
                <w:sz w:val="20"/>
                <w:szCs w:val="20"/>
              </w:rPr>
              <w:t xml:space="preserve"> indicator is essentially the</w:t>
            </w:r>
            <w:r w:rsidR="00AC6C74" w:rsidRPr="00D04DA2">
              <w:rPr>
                <w:rFonts w:eastAsia="Calibri" w:cstheme="minorHAnsi"/>
                <w:color w:val="000000" w:themeColor="text1"/>
                <w:sz w:val="20"/>
                <w:szCs w:val="20"/>
              </w:rPr>
              <w:t xml:space="preserve"> percentage of population who are currently owner-manager of an established business</w:t>
            </w:r>
            <w:r w:rsidR="00A42331" w:rsidRPr="00D04DA2">
              <w:rPr>
                <w:rFonts w:eastAsia="Calibri" w:cstheme="minorHAnsi"/>
                <w:color w:val="000000" w:themeColor="text1"/>
                <w:sz w:val="20"/>
                <w:szCs w:val="20"/>
              </w:rPr>
              <w:t xml:space="preserve"> (</w:t>
            </w:r>
            <w:r w:rsidR="00557EAA" w:rsidRPr="00D04DA2">
              <w:rPr>
                <w:rFonts w:eastAsia="Calibri" w:cstheme="minorHAnsi"/>
                <w:color w:val="000000" w:themeColor="text1"/>
                <w:sz w:val="20"/>
                <w:szCs w:val="20"/>
              </w:rPr>
              <w:t>i.e.,</w:t>
            </w:r>
            <w:r w:rsidR="00A42331" w:rsidRPr="00D04DA2">
              <w:rPr>
                <w:rFonts w:eastAsia="Calibri" w:cstheme="minorHAnsi"/>
                <w:color w:val="000000" w:themeColor="text1"/>
                <w:sz w:val="20"/>
                <w:szCs w:val="20"/>
              </w:rPr>
              <w:t xml:space="preserve"> owning and managing a running business that </w:t>
            </w:r>
            <w:r w:rsidR="00557EAA" w:rsidRPr="00D04DA2">
              <w:rPr>
                <w:rFonts w:eastAsia="Calibri" w:cstheme="minorHAnsi"/>
                <w:color w:val="000000" w:themeColor="text1"/>
                <w:sz w:val="20"/>
                <w:szCs w:val="20"/>
              </w:rPr>
              <w:t xml:space="preserve">has paid salaries, </w:t>
            </w:r>
            <w:r w:rsidR="00B36975" w:rsidRPr="00D04DA2">
              <w:rPr>
                <w:rFonts w:eastAsia="Calibri" w:cstheme="minorHAnsi"/>
                <w:color w:val="000000" w:themeColor="text1"/>
                <w:sz w:val="20"/>
                <w:szCs w:val="20"/>
              </w:rPr>
              <w:t>wages, or any other payments to the owners for more than 42 months).</w:t>
            </w:r>
            <w:r w:rsidR="006D28C6" w:rsidRPr="00D04DA2">
              <w:rPr>
                <w:rFonts w:eastAsia="Calibri" w:cstheme="minorHAnsi"/>
                <w:color w:val="000000" w:themeColor="text1"/>
                <w:sz w:val="20"/>
                <w:szCs w:val="20"/>
              </w:rPr>
              <w:t xml:space="preserve"> </w:t>
            </w:r>
          </w:p>
        </w:tc>
        <w:tc>
          <w:tcPr>
            <w:tcW w:w="1485" w:type="dxa"/>
            <w:tcBorders>
              <w:top w:val="single" w:sz="4" w:space="0" w:color="auto"/>
              <w:left w:val="single" w:sz="4" w:space="0" w:color="auto"/>
              <w:bottom w:val="single" w:sz="4" w:space="0" w:color="auto"/>
              <w:right w:val="single" w:sz="4" w:space="0" w:color="auto"/>
            </w:tcBorders>
          </w:tcPr>
          <w:p w14:paraId="3CDE5C72" w14:textId="5E214B71" w:rsidR="00E5474F" w:rsidRPr="00D04DA2" w:rsidRDefault="00247FA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3B64EBD1" w14:textId="3F41080B"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B78F1D" w14:textId="07D19F9E" w:rsidR="00E5474F" w:rsidRPr="00D04DA2" w:rsidRDefault="002D24AF"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115</w:t>
            </w:r>
            <w:r w:rsidR="00E5474F" w:rsidRPr="00D04DA2">
              <w:rPr>
                <w:rFonts w:cstheme="minorHAnsi"/>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19FFF5BC" w14:textId="1FBE4633" w:rsidR="00E5474F" w:rsidRPr="00D04DA2" w:rsidRDefault="002D24AF" w:rsidP="00D04DA2">
            <w:pPr>
              <w:spacing w:after="0" w:line="240" w:lineRule="auto"/>
              <w:contextualSpacing/>
              <w:rPr>
                <w:rFonts w:cstheme="minorHAnsi"/>
                <w:sz w:val="20"/>
                <w:szCs w:val="20"/>
              </w:rPr>
            </w:pPr>
            <w:r>
              <w:rPr>
                <w:rFonts w:cstheme="minorHAnsi"/>
                <w:sz w:val="20"/>
                <w:szCs w:val="20"/>
              </w:rPr>
              <w:t>9 economies</w:t>
            </w:r>
          </w:p>
        </w:tc>
        <w:tc>
          <w:tcPr>
            <w:tcW w:w="1418" w:type="dxa"/>
            <w:tcBorders>
              <w:top w:val="single" w:sz="4" w:space="0" w:color="auto"/>
              <w:left w:val="single" w:sz="4" w:space="0" w:color="auto"/>
              <w:bottom w:val="single" w:sz="4" w:space="0" w:color="auto"/>
              <w:right w:val="single" w:sz="4" w:space="0" w:color="auto"/>
            </w:tcBorders>
          </w:tcPr>
          <w:p w14:paraId="4B3306C7" w14:textId="0825787D"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Annual</w:t>
            </w:r>
            <w:r w:rsidR="00420652" w:rsidRPr="00D04DA2">
              <w:rPr>
                <w:rFonts w:cstheme="minorHAnsi"/>
                <w:sz w:val="20"/>
                <w:szCs w:val="20"/>
              </w:rPr>
              <w:t xml:space="preserve">. </w:t>
            </w:r>
            <w:r w:rsidRPr="00D04DA2">
              <w:rPr>
                <w:rFonts w:cstheme="minorHAnsi"/>
                <w:sz w:val="20"/>
                <w:szCs w:val="20"/>
              </w:rPr>
              <w:t>(While the GEM report is published every year, the datasets are only made available to the public 3 years after data collection.)</w:t>
            </w:r>
          </w:p>
          <w:p w14:paraId="18293AC2" w14:textId="77777777" w:rsidR="00680DC8" w:rsidRPr="00D04DA2" w:rsidRDefault="00680DC8" w:rsidP="00D04DA2">
            <w:pPr>
              <w:spacing w:after="0" w:line="240" w:lineRule="auto"/>
              <w:contextualSpacing/>
              <w:rPr>
                <w:rFonts w:cstheme="minorHAnsi"/>
                <w:sz w:val="20"/>
                <w:szCs w:val="20"/>
              </w:rPr>
            </w:pPr>
          </w:p>
          <w:p w14:paraId="7093326C" w14:textId="688F7133" w:rsidR="00E5474F" w:rsidRPr="00D04DA2" w:rsidRDefault="00D02804" w:rsidP="00D04DA2">
            <w:pPr>
              <w:spacing w:after="0" w:line="240" w:lineRule="auto"/>
              <w:contextualSpacing/>
              <w:rPr>
                <w:rFonts w:cstheme="minorHAnsi"/>
                <w:sz w:val="20"/>
                <w:szCs w:val="20"/>
              </w:rPr>
            </w:pPr>
            <w:r w:rsidRPr="00D04DA2">
              <w:rPr>
                <w:rFonts w:cstheme="minorHAnsi"/>
                <w:sz w:val="20"/>
                <w:szCs w:val="20"/>
              </w:rPr>
              <w:t>The indicator is published for 2001-2020</w:t>
            </w:r>
            <w:r w:rsidR="00D365AC" w:rsidRPr="00D04DA2">
              <w:rPr>
                <w:rFonts w:cstheme="minorHAnsi"/>
                <w:sz w:val="20"/>
                <w:szCs w:val="20"/>
              </w:rPr>
              <w:t>.</w:t>
            </w:r>
          </w:p>
        </w:tc>
        <w:tc>
          <w:tcPr>
            <w:tcW w:w="1664" w:type="dxa"/>
            <w:tcBorders>
              <w:top w:val="single" w:sz="4" w:space="0" w:color="auto"/>
              <w:left w:val="nil"/>
              <w:bottom w:val="single" w:sz="4" w:space="0" w:color="auto"/>
              <w:right w:val="single" w:sz="4" w:space="0" w:color="auto"/>
            </w:tcBorders>
          </w:tcPr>
          <w:p w14:paraId="5A023D31"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https://www.gemconsortium.org/reports/latest-global-report</w:t>
            </w:r>
          </w:p>
        </w:tc>
      </w:tr>
      <w:tr w:rsidR="00912FA5" w:rsidRPr="00D04DA2" w14:paraId="210C4F5C"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4607DD33"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5</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36BDC4A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Dealing with construction permits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2EB77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0041979E" w14:textId="3B84CD02"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Firms expected to give gifts to get a construction permit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624922" w14:textId="70B9A063"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Percentage of firms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9C9B29" w14:textId="42A550DE"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1AF934DC" w14:textId="1A93E2F4"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6DA1E7" w14:textId="51CB5F36"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Enterprise Surveys cover a range of business environment topics including Corruption, which covers the percentage of firms expecting to pay a bribe to obtain a construction permit</w:t>
            </w:r>
            <w:r w:rsidR="002C403D" w:rsidRPr="00D04DA2">
              <w:rPr>
                <w:rFonts w:eastAsia="Calibri" w:cstheme="minorHAnsi"/>
                <w:sz w:val="20"/>
                <w:szCs w:val="20"/>
              </w:rPr>
              <w:t>.</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53EE4E52" w14:textId="7C22F772" w:rsidR="00E5474F" w:rsidRPr="00D04DA2" w:rsidRDefault="00E70A3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E90DC9" w14:textId="6FB6D3F5"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C29CF4" w14:textId="5F1FB6F2" w:rsidR="00E5474F" w:rsidRPr="00D04DA2" w:rsidRDefault="00E5474F" w:rsidP="00D04DA2">
            <w:pPr>
              <w:spacing w:after="0" w:line="240" w:lineRule="auto"/>
              <w:contextualSpacing/>
              <w:rPr>
                <w:rFonts w:cstheme="minorHAnsi"/>
                <w:color w:val="000000"/>
                <w:sz w:val="20"/>
                <w:szCs w:val="20"/>
              </w:rPr>
            </w:pPr>
            <w:r w:rsidRPr="007B6FFB">
              <w:rPr>
                <w:rFonts w:cstheme="minorHAnsi"/>
                <w:color w:val="000000" w:themeColor="text1"/>
                <w:sz w:val="20"/>
                <w:szCs w:val="20"/>
              </w:rPr>
              <w:t>14</w:t>
            </w:r>
            <w:r w:rsidR="00363F4E">
              <w:rPr>
                <w:rFonts w:cstheme="minorHAnsi"/>
                <w:color w:val="000000" w:themeColor="text1"/>
                <w:sz w:val="20"/>
                <w:szCs w:val="20"/>
              </w:rPr>
              <w:t>5</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A6AD7A" w14:textId="28E3381D" w:rsidR="00E5474F" w:rsidRPr="00D04DA2" w:rsidRDefault="00776039" w:rsidP="00D04DA2">
            <w:pPr>
              <w:spacing w:after="0" w:line="240" w:lineRule="auto"/>
              <w:contextualSpacing/>
              <w:rPr>
                <w:rFonts w:eastAsia="Calibri" w:cstheme="minorHAnsi"/>
                <w:color w:val="000000" w:themeColor="text1"/>
                <w:sz w:val="20"/>
                <w:szCs w:val="20"/>
              </w:rPr>
            </w:pPr>
            <w:r>
              <w:rPr>
                <w:rFonts w:eastAsia="Calibri" w:cstheme="minorHAnsi"/>
                <w:color w:val="000000" w:themeColor="text1"/>
                <w:sz w:val="20"/>
                <w:szCs w:val="20"/>
              </w:rPr>
              <w:t>24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0C1AAE" w14:textId="6FA265EA"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 xml:space="preserve">The Enterprise Surveys are conducted in about 17 economies each year. The latest data can refer to 2021 (e.g., for Austria) or 2009 </w:t>
            </w:r>
            <w:r w:rsidRPr="00D04DA2">
              <w:rPr>
                <w:rFonts w:eastAsia="Calibri" w:cstheme="minorHAnsi"/>
                <w:sz w:val="20"/>
                <w:szCs w:val="20"/>
              </w:rPr>
              <w:t>(e.g., Brazil).</w:t>
            </w:r>
          </w:p>
          <w:p w14:paraId="5ACF5D2F" w14:textId="77777777" w:rsidR="00680DC8" w:rsidRPr="00D04DA2" w:rsidRDefault="00680DC8" w:rsidP="00D04DA2">
            <w:pPr>
              <w:spacing w:after="0" w:line="240" w:lineRule="auto"/>
              <w:contextualSpacing/>
              <w:rPr>
                <w:rFonts w:eastAsia="Calibri" w:cstheme="minorHAnsi"/>
                <w:sz w:val="20"/>
                <w:szCs w:val="20"/>
              </w:rPr>
            </w:pPr>
          </w:p>
          <w:p w14:paraId="1868371E" w14:textId="7EDDA901" w:rsidR="00E5474F" w:rsidRPr="00D04DA2" w:rsidRDefault="00557A5D" w:rsidP="00D04DA2">
            <w:pPr>
              <w:spacing w:after="0" w:line="240" w:lineRule="auto"/>
              <w:contextualSpacing/>
              <w:rPr>
                <w:rFonts w:cstheme="minorHAnsi"/>
                <w:color w:val="000000"/>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71172C53" w14:textId="77777777" w:rsidR="00E5474F" w:rsidRPr="00D04DA2" w:rsidRDefault="00FA1285" w:rsidP="00D04DA2">
            <w:pPr>
              <w:spacing w:after="0" w:line="240" w:lineRule="auto"/>
              <w:contextualSpacing/>
              <w:rPr>
                <w:rFonts w:eastAsia="Calibri" w:cstheme="minorHAnsi"/>
                <w:sz w:val="20"/>
                <w:szCs w:val="20"/>
              </w:rPr>
            </w:pPr>
            <w:hyperlink r:id="rId14" w:history="1">
              <w:r w:rsidR="00E5474F" w:rsidRPr="00D04DA2">
                <w:rPr>
                  <w:rStyle w:val="Hyperlink"/>
                  <w:rFonts w:eastAsia="Calibri" w:cstheme="minorHAnsi"/>
                  <w:sz w:val="20"/>
                  <w:szCs w:val="20"/>
                </w:rPr>
                <w:t>https://www.enterprisesurveys.org/en/data/exploretopics/corruption</w:t>
              </w:r>
            </w:hyperlink>
            <w:r w:rsidR="00E5474F" w:rsidRPr="00D04DA2">
              <w:rPr>
                <w:rFonts w:eastAsia="Calibri" w:cstheme="minorHAnsi"/>
                <w:sz w:val="20"/>
                <w:szCs w:val="20"/>
              </w:rPr>
              <w:t xml:space="preserve"> </w:t>
            </w:r>
          </w:p>
        </w:tc>
      </w:tr>
      <w:tr w:rsidR="00912FA5" w:rsidRPr="00D04DA2" w14:paraId="6FD68292"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704D42C7"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6</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5F07BBA3"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Dealing with construction permits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B6330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56D18DEE" w14:textId="1DB36591"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Firms expected to give gifts to get a water connection</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3EC83D" w14:textId="1EE98F0F"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Percentage of firms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94B1C3" w14:textId="0B8E2A8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3A746B5E"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47D3B6" w14:textId="5ABE593A"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Enterprise Surveys cover a range of business environment topics including Corruption, which covers the percentage of firms expecting to pay a bribe to obtain a water connection</w:t>
            </w:r>
            <w:r w:rsidR="00451CF6" w:rsidRPr="00D04DA2">
              <w:rPr>
                <w:rFonts w:eastAsia="Calibri" w:cstheme="minorHAnsi"/>
                <w:sz w:val="20"/>
                <w:szCs w:val="20"/>
              </w:rPr>
              <w:t>.</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6D1640AF" w14:textId="5BAAB5BB" w:rsidR="00E5474F" w:rsidRPr="00D04DA2" w:rsidRDefault="00E70A3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91A970" w14:textId="083179B1"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1DE9A1" w14:textId="1B669186" w:rsidR="00E5474F" w:rsidRPr="00D04DA2" w:rsidRDefault="00E5474F" w:rsidP="00D04DA2">
            <w:pPr>
              <w:spacing w:after="0" w:line="240" w:lineRule="auto"/>
              <w:contextualSpacing/>
              <w:rPr>
                <w:rFonts w:cstheme="minorHAnsi"/>
                <w:color w:val="000000" w:themeColor="text1"/>
                <w:sz w:val="20"/>
                <w:szCs w:val="20"/>
              </w:rPr>
            </w:pPr>
            <w:r w:rsidRPr="007B6FFB">
              <w:rPr>
                <w:rFonts w:cstheme="minorHAnsi"/>
                <w:color w:val="000000" w:themeColor="text1"/>
                <w:sz w:val="20"/>
                <w:szCs w:val="20"/>
              </w:rPr>
              <w:t>14</w:t>
            </w:r>
            <w:r w:rsidR="00776039">
              <w:rPr>
                <w:rFonts w:cstheme="minorHAnsi"/>
                <w:color w:val="000000" w:themeColor="text1"/>
                <w:sz w:val="20"/>
                <w:szCs w:val="20"/>
              </w:rPr>
              <w:t>0</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19B045" w14:textId="1DE2F390" w:rsidR="00E5474F" w:rsidRPr="00D04DA2" w:rsidRDefault="00776039" w:rsidP="00D04DA2">
            <w:pPr>
              <w:spacing w:after="0" w:line="240" w:lineRule="auto"/>
              <w:contextualSpacing/>
              <w:rPr>
                <w:rFonts w:eastAsia="Calibri" w:cstheme="minorHAnsi"/>
                <w:color w:val="000000" w:themeColor="text1"/>
                <w:sz w:val="20"/>
                <w:szCs w:val="20"/>
              </w:rPr>
            </w:pPr>
            <w:r>
              <w:rPr>
                <w:rFonts w:eastAsia="Calibri" w:cstheme="minorHAnsi"/>
                <w:color w:val="000000" w:themeColor="text1"/>
                <w:sz w:val="20"/>
                <w:szCs w:val="20"/>
              </w:rPr>
              <w:t>22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98AB51" w14:textId="16CBF290"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 xml:space="preserve">The Enterprise Surveys are conducted in about 17 economies each year. The latest data can refer to 2021 (e.g., for Austria) or 2009 (e.g., </w:t>
            </w:r>
            <w:r w:rsidRPr="00D04DA2">
              <w:rPr>
                <w:rFonts w:eastAsia="Calibri" w:cstheme="minorHAnsi"/>
                <w:sz w:val="20"/>
                <w:szCs w:val="20"/>
              </w:rPr>
              <w:t>Brazil).</w:t>
            </w:r>
          </w:p>
          <w:p w14:paraId="39C24B00" w14:textId="77777777" w:rsidR="00680DC8" w:rsidRPr="00D04DA2" w:rsidRDefault="00680DC8" w:rsidP="00D04DA2">
            <w:pPr>
              <w:spacing w:after="0" w:line="240" w:lineRule="auto"/>
              <w:contextualSpacing/>
              <w:rPr>
                <w:rFonts w:eastAsia="Calibri" w:cstheme="minorHAnsi"/>
                <w:sz w:val="20"/>
                <w:szCs w:val="20"/>
              </w:rPr>
            </w:pPr>
          </w:p>
          <w:p w14:paraId="45F11692" w14:textId="307FC862" w:rsidR="00E5474F" w:rsidRPr="00D04DA2" w:rsidRDefault="00142E20" w:rsidP="00D04DA2">
            <w:pPr>
              <w:spacing w:after="0" w:line="240" w:lineRule="auto"/>
              <w:contextualSpacing/>
              <w:rPr>
                <w:rFonts w:eastAsia="Calibri" w:cstheme="minorHAnsi"/>
                <w:color w:val="000000" w:themeColor="text1"/>
                <w:sz w:val="20"/>
                <w:szCs w:val="20"/>
              </w:rPr>
            </w:pPr>
            <w:r w:rsidRPr="00D04DA2">
              <w:rPr>
                <w:rFonts w:eastAsia="Calibri" w:cstheme="minorHAnsi"/>
                <w:sz w:val="20"/>
                <w:szCs w:val="20"/>
              </w:rPr>
              <w:lastRenderedPageBreak/>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4CFBB834" w14:textId="77777777" w:rsidR="00E5474F" w:rsidRPr="00D04DA2" w:rsidRDefault="00FA1285" w:rsidP="00D04DA2">
            <w:pPr>
              <w:spacing w:after="0" w:line="240" w:lineRule="auto"/>
              <w:contextualSpacing/>
              <w:rPr>
                <w:rFonts w:eastAsia="Calibri" w:cstheme="minorHAnsi"/>
                <w:sz w:val="20"/>
                <w:szCs w:val="20"/>
              </w:rPr>
            </w:pPr>
            <w:hyperlink r:id="rId15" w:history="1">
              <w:r w:rsidR="00E5474F" w:rsidRPr="00D04DA2">
                <w:rPr>
                  <w:rStyle w:val="Hyperlink"/>
                  <w:rFonts w:eastAsia="Calibri" w:cstheme="minorHAnsi"/>
                  <w:sz w:val="20"/>
                  <w:szCs w:val="20"/>
                </w:rPr>
                <w:t>https://www.enterprisesurveys.org/en/data/exploretopics/corruption</w:t>
              </w:r>
            </w:hyperlink>
            <w:r w:rsidR="00E5474F" w:rsidRPr="00D04DA2">
              <w:rPr>
                <w:rFonts w:eastAsia="Calibri" w:cstheme="minorHAnsi"/>
                <w:sz w:val="20"/>
                <w:szCs w:val="20"/>
              </w:rPr>
              <w:t xml:space="preserve"> </w:t>
            </w:r>
          </w:p>
        </w:tc>
      </w:tr>
      <w:tr w:rsidR="00912FA5" w:rsidRPr="00D04DA2" w14:paraId="2D907C25" w14:textId="77777777" w:rsidTr="167C0426">
        <w:trPr>
          <w:trHeight w:val="2591"/>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135C1985"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7</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F4BCE2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Dealing with construction permits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313312"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3C80FF26" w14:textId="060F9B4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Days to obtain construction related permit </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C924D4" w14:textId="34B1AA34"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Number of days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96B28E" w14:textId="33F3BEDB"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World Bank Group - Enterprise Surveys</w:t>
            </w:r>
          </w:p>
          <w:p w14:paraId="664CCDBF" w14:textId="77777777" w:rsidR="00E5474F" w:rsidRPr="00D04DA2" w:rsidRDefault="00E5474F" w:rsidP="00D04DA2">
            <w:pPr>
              <w:spacing w:after="0" w:line="240" w:lineRule="auto"/>
              <w:contextualSpacing/>
              <w:rPr>
                <w:rFonts w:cstheme="minorHAnsi"/>
                <w:color w:val="000000"/>
                <w:sz w:val="20"/>
                <w:szCs w:val="20"/>
              </w:rPr>
            </w:pP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2B7E0243"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299112"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Enterprise Surveys cover a range of business environment topics including Regulations and Taxes, which covers the number of days required to obtain construction related permits, reflecting the regulatory burden for construction.</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1F120B3F" w14:textId="1FC4A1ED" w:rsidR="00E5474F" w:rsidRPr="00D04DA2" w:rsidRDefault="00882187"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AF1305" w14:textId="426E5DD2"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795220" w14:textId="1393A00D" w:rsidR="00E5474F" w:rsidRPr="00D04DA2" w:rsidRDefault="00E5474F" w:rsidP="00D04DA2">
            <w:pPr>
              <w:spacing w:after="0" w:line="240" w:lineRule="auto"/>
              <w:contextualSpacing/>
              <w:rPr>
                <w:rFonts w:cstheme="minorHAnsi"/>
                <w:color w:val="000000" w:themeColor="text1"/>
                <w:sz w:val="20"/>
                <w:szCs w:val="20"/>
              </w:rPr>
            </w:pPr>
            <w:r w:rsidRPr="007B6FFB">
              <w:rPr>
                <w:rFonts w:cstheme="minorHAnsi"/>
                <w:color w:val="000000" w:themeColor="text1"/>
                <w:sz w:val="20"/>
                <w:szCs w:val="20"/>
              </w:rPr>
              <w:t>14</w:t>
            </w:r>
            <w:r w:rsidR="00111457">
              <w:rPr>
                <w:rFonts w:cstheme="minorHAnsi"/>
                <w:color w:val="000000" w:themeColor="text1"/>
                <w:sz w:val="20"/>
                <w:szCs w:val="20"/>
              </w:rPr>
              <w:t>3</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CBA4ED" w14:textId="42A869DA" w:rsidR="00E5474F" w:rsidRPr="00D04DA2" w:rsidRDefault="00111457" w:rsidP="00D04DA2">
            <w:pPr>
              <w:spacing w:after="0" w:line="240" w:lineRule="auto"/>
              <w:contextualSpacing/>
              <w:rPr>
                <w:rFonts w:eastAsia="Calibri" w:cstheme="minorHAnsi"/>
                <w:color w:val="000000" w:themeColor="text1"/>
                <w:sz w:val="20"/>
                <w:szCs w:val="20"/>
              </w:rPr>
            </w:pPr>
            <w:r>
              <w:rPr>
                <w:rFonts w:eastAsia="Calibri" w:cstheme="minorHAnsi"/>
                <w:color w:val="000000" w:themeColor="text1"/>
                <w:sz w:val="20"/>
                <w:szCs w:val="20"/>
              </w:rPr>
              <w:t>23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506F05" w14:textId="5584BE3D"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Enterprise Surveys are conducted in about 17 economies each year. The latest data can refer to 2021 (e.g., for Austria) or 2009 (e.g., Brazil).</w:t>
            </w:r>
          </w:p>
          <w:p w14:paraId="150E37E5" w14:textId="77777777" w:rsidR="00680DC8" w:rsidRPr="00D04DA2" w:rsidRDefault="00680DC8" w:rsidP="00D04DA2">
            <w:pPr>
              <w:spacing w:after="0" w:line="240" w:lineRule="auto"/>
              <w:contextualSpacing/>
              <w:rPr>
                <w:rFonts w:eastAsia="Calibri" w:cstheme="minorHAnsi"/>
                <w:sz w:val="20"/>
                <w:szCs w:val="20"/>
              </w:rPr>
            </w:pPr>
          </w:p>
          <w:p w14:paraId="01BFD1AF" w14:textId="5253EE86" w:rsidR="00E5474F" w:rsidRPr="00D04DA2" w:rsidRDefault="00142E20" w:rsidP="00D04DA2">
            <w:pPr>
              <w:spacing w:after="0" w:line="240" w:lineRule="auto"/>
              <w:contextualSpacing/>
              <w:rPr>
                <w:rFonts w:cstheme="minorHAnsi"/>
                <w:color w:val="000000"/>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6DBE943" w14:textId="77777777" w:rsidR="00E5474F" w:rsidRPr="00D04DA2" w:rsidRDefault="00FA1285" w:rsidP="00D04DA2">
            <w:pPr>
              <w:spacing w:after="0" w:line="240" w:lineRule="auto"/>
              <w:contextualSpacing/>
              <w:rPr>
                <w:rFonts w:eastAsia="Calibri" w:cstheme="minorHAnsi"/>
                <w:sz w:val="20"/>
                <w:szCs w:val="20"/>
              </w:rPr>
            </w:pPr>
            <w:hyperlink r:id="rId16" w:history="1">
              <w:r w:rsidR="00E5474F" w:rsidRPr="00D04DA2">
                <w:rPr>
                  <w:rStyle w:val="Hyperlink"/>
                  <w:rFonts w:eastAsia="Calibri" w:cstheme="minorHAnsi"/>
                  <w:sz w:val="20"/>
                  <w:szCs w:val="20"/>
                </w:rPr>
                <w:t>https://www.enterprisesurveys.org/en/data/exploretopics/regulations-and-taxes</w:t>
              </w:r>
            </w:hyperlink>
            <w:r w:rsidR="00E5474F" w:rsidRPr="00D04DA2">
              <w:rPr>
                <w:rFonts w:eastAsia="Calibri" w:cstheme="minorHAnsi"/>
                <w:sz w:val="20"/>
                <w:szCs w:val="20"/>
              </w:rPr>
              <w:t xml:space="preserve"> </w:t>
            </w:r>
          </w:p>
        </w:tc>
      </w:tr>
      <w:tr w:rsidR="00912FA5" w:rsidRPr="00D04DA2" w14:paraId="38F3C57D"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1AF768E4"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8</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207FB75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Dealing with construction permits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A852A6"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Opening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7A779B4B" w14:textId="40EC710A"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Building permits - number of dwellings</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8D8926" w14:textId="34E0157A" w:rsidR="00E5474F" w:rsidRPr="00D04DA2" w:rsidRDefault="00051AD5" w:rsidP="00D04DA2">
            <w:pPr>
              <w:spacing w:after="0" w:line="240" w:lineRule="auto"/>
              <w:contextualSpacing/>
              <w:rPr>
                <w:rFonts w:eastAsia="Calibri" w:cstheme="minorHAnsi"/>
                <w:sz w:val="20"/>
                <w:szCs w:val="20"/>
              </w:rPr>
            </w:pPr>
            <w:r w:rsidRPr="00D04DA2">
              <w:rPr>
                <w:rFonts w:eastAsia="Calibri" w:cstheme="minorHAnsi"/>
                <w:sz w:val="20"/>
                <w:szCs w:val="20"/>
              </w:rPr>
              <w:t>Index</w:t>
            </w:r>
            <w:r w:rsidR="00DB4E6C" w:rsidRPr="00D04DA2">
              <w:rPr>
                <w:rFonts w:eastAsia="Calibri" w:cstheme="minorHAnsi"/>
                <w:sz w:val="20"/>
                <w:szCs w:val="20"/>
              </w:rPr>
              <w:t>, p</w:t>
            </w:r>
            <w:r w:rsidR="00E5474F" w:rsidRPr="00D04DA2">
              <w:rPr>
                <w:rFonts w:eastAsia="Calibri" w:cstheme="minorHAnsi"/>
                <w:sz w:val="20"/>
                <w:szCs w:val="20"/>
              </w:rPr>
              <w:t>ercentage change</w:t>
            </w:r>
            <w:r w:rsidR="00E5474F" w:rsidRPr="00D04DA2">
              <w:rPr>
                <w:rFonts w:cstheme="minorHAnsi"/>
                <w:sz w:val="20"/>
                <w:szCs w:val="20"/>
              </w:rPr>
              <w:t xml:space="preserve"> </w:t>
            </w:r>
            <w:r w:rsidR="00E5474F" w:rsidRPr="00D04DA2">
              <w:rPr>
                <w:rFonts w:eastAsia="Calibri" w:cstheme="minorHAnsi"/>
                <w:sz w:val="20"/>
                <w:szCs w:val="20"/>
              </w:rPr>
              <w:t>(base year 2015</w:t>
            </w:r>
            <w:r w:rsidRPr="00D04DA2">
              <w:rPr>
                <w:rFonts w:eastAsia="Calibri" w:cstheme="minorHAnsi"/>
                <w:sz w:val="20"/>
                <w:szCs w:val="20"/>
              </w:rPr>
              <w:t xml:space="preserve"> = 100</w:t>
            </w:r>
            <w:r w:rsidR="00E5474F" w:rsidRPr="00D04DA2">
              <w:rPr>
                <w:rFonts w:eastAsia="Calibri" w:cstheme="minorHAnsi"/>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D36F37" w14:textId="2186ED12" w:rsidR="00E5474F" w:rsidRPr="00D04DA2" w:rsidRDefault="003F3D1F" w:rsidP="00D04DA2">
            <w:pPr>
              <w:spacing w:after="0" w:line="240" w:lineRule="auto"/>
              <w:contextualSpacing/>
              <w:rPr>
                <w:rFonts w:cstheme="minorHAnsi"/>
                <w:color w:val="000000"/>
                <w:sz w:val="20"/>
                <w:szCs w:val="20"/>
              </w:rPr>
            </w:pPr>
            <w:r w:rsidRPr="003F3D1F">
              <w:rPr>
                <w:rFonts w:cstheme="minorHAnsi"/>
                <w:color w:val="000000" w:themeColor="text1"/>
                <w:sz w:val="20"/>
                <w:szCs w:val="20"/>
              </w:rPr>
              <w:t>European Commission</w:t>
            </w:r>
            <w:r>
              <w:rPr>
                <w:rFonts w:cstheme="minorHAnsi"/>
                <w:color w:val="000000" w:themeColor="text1"/>
                <w:sz w:val="20"/>
                <w:szCs w:val="20"/>
              </w:rPr>
              <w:t xml:space="preserve"> - </w:t>
            </w:r>
            <w:r w:rsidR="00E5474F" w:rsidRPr="00D04DA2">
              <w:rPr>
                <w:rFonts w:cstheme="minorHAnsi"/>
                <w:color w:val="000000" w:themeColor="text1"/>
                <w:sz w:val="20"/>
                <w:szCs w:val="20"/>
              </w:rPr>
              <w:t>Eurostat</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3B5E66D9" w14:textId="46011024"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9C72D1" w14:textId="3327AA56"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dataset provides information on change in number of building permits issued for residential buildings</w:t>
            </w:r>
            <w:r w:rsidR="00B67022" w:rsidRPr="00D04DA2">
              <w:rPr>
                <w:rFonts w:cstheme="minorHAnsi"/>
                <w:color w:val="000000" w:themeColor="text1"/>
                <w:sz w:val="20"/>
                <w:szCs w:val="20"/>
              </w:rPr>
              <w:t>, except residence for communities</w:t>
            </w:r>
            <w:r w:rsidRPr="00D04DA2">
              <w:rPr>
                <w:rFonts w:cstheme="minorHAnsi"/>
                <w:color w:val="000000" w:themeColor="text1"/>
                <w:sz w:val="20"/>
                <w:szCs w:val="20"/>
              </w:rPr>
              <w:t xml:space="preserve">. </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56746169" w14:textId="7DA79CBD" w:rsidR="00E5474F" w:rsidRPr="00D04DA2" w:rsidRDefault="00557A68"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ED898E" w14:textId="2DC5C8DE" w:rsidR="00E5474F" w:rsidRPr="00D04DA2" w:rsidRDefault="006B503E"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Regional (</w:t>
            </w:r>
            <w:r w:rsidR="00E5474F" w:rsidRPr="00D04DA2">
              <w:rPr>
                <w:rFonts w:cstheme="minorHAnsi"/>
                <w:color w:val="000000" w:themeColor="text1"/>
                <w:sz w:val="20"/>
                <w:szCs w:val="20"/>
              </w:rPr>
              <w:t>Europe</w:t>
            </w:r>
            <w:r w:rsidRPr="00D04DA2">
              <w:rPr>
                <w:rFonts w:cstheme="minorHAnsi"/>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C2C6F4"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35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53AE3" w14:textId="422894A4" w:rsidR="00E5474F" w:rsidRPr="00D04DA2" w:rsidRDefault="005D452A"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A29AEE" w14:textId="2D1146A0"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Quarterly</w:t>
            </w:r>
            <w:r w:rsidR="007650C2" w:rsidRPr="00D04DA2">
              <w:rPr>
                <w:rFonts w:cstheme="minorHAnsi"/>
                <w:color w:val="000000" w:themeColor="text1"/>
                <w:sz w:val="20"/>
                <w:szCs w:val="20"/>
              </w:rPr>
              <w:t>.</w:t>
            </w:r>
          </w:p>
          <w:p w14:paraId="07A7FD00" w14:textId="77777777" w:rsidR="00680DC8" w:rsidRPr="00D04DA2" w:rsidRDefault="00680DC8" w:rsidP="00D04DA2">
            <w:pPr>
              <w:spacing w:after="0" w:line="240" w:lineRule="auto"/>
              <w:contextualSpacing/>
              <w:rPr>
                <w:rFonts w:cstheme="minorHAnsi"/>
                <w:color w:val="000000" w:themeColor="text1"/>
                <w:sz w:val="20"/>
                <w:szCs w:val="20"/>
              </w:rPr>
            </w:pPr>
          </w:p>
          <w:p w14:paraId="29576B97" w14:textId="0ACF2B30" w:rsidR="00E5474F" w:rsidRPr="00D04DA2" w:rsidRDefault="00AB5443" w:rsidP="00D04DA2">
            <w:pPr>
              <w:spacing w:after="0" w:line="240" w:lineRule="auto"/>
              <w:contextualSpacing/>
              <w:rPr>
                <w:rFonts w:cstheme="minorHAnsi"/>
                <w:color w:val="FF0000"/>
                <w:sz w:val="20"/>
                <w:szCs w:val="20"/>
              </w:rPr>
            </w:pPr>
            <w:r w:rsidRPr="00D04DA2">
              <w:rPr>
                <w:rFonts w:cstheme="minorHAnsi"/>
                <w:sz w:val="20"/>
                <w:szCs w:val="20"/>
              </w:rPr>
              <w:t>The indicator is published f</w:t>
            </w:r>
            <w:r w:rsidR="00557A5D" w:rsidRPr="00D04DA2">
              <w:rPr>
                <w:rFonts w:cstheme="minorHAnsi"/>
                <w:sz w:val="20"/>
                <w:szCs w:val="20"/>
              </w:rPr>
              <w:t>or</w:t>
            </w:r>
            <w:r w:rsidRPr="00D04DA2">
              <w:rPr>
                <w:rFonts w:cstheme="minorHAnsi"/>
                <w:sz w:val="20"/>
                <w:szCs w:val="20"/>
              </w:rPr>
              <w:t xml:space="preserve"> 1992</w:t>
            </w:r>
            <w:r w:rsidR="00680DC8" w:rsidRPr="00D04DA2">
              <w:rPr>
                <w:rFonts w:cstheme="minorHAnsi"/>
                <w:sz w:val="20"/>
                <w:szCs w:val="20"/>
              </w:rPr>
              <w:t>-</w:t>
            </w:r>
            <w:r w:rsidR="00557A5D" w:rsidRPr="00D04DA2">
              <w:rPr>
                <w:rFonts w:cstheme="minorHAnsi"/>
                <w:sz w:val="20"/>
                <w:szCs w:val="20"/>
              </w:rPr>
              <w:t>2021</w:t>
            </w:r>
            <w:r w:rsidR="007650C2" w:rsidRPr="00D04DA2">
              <w:rPr>
                <w:rFonts w:cstheme="minorHAnsi"/>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19C73788" w14:textId="77777777" w:rsidR="00E5474F" w:rsidRPr="00D04DA2" w:rsidRDefault="00FA1285" w:rsidP="00D04DA2">
            <w:pPr>
              <w:spacing w:after="0" w:line="240" w:lineRule="auto"/>
              <w:contextualSpacing/>
              <w:rPr>
                <w:rFonts w:eastAsia="Calibri" w:cstheme="minorHAnsi"/>
                <w:sz w:val="20"/>
                <w:szCs w:val="20"/>
              </w:rPr>
            </w:pPr>
            <w:hyperlink r:id="rId17" w:history="1">
              <w:r w:rsidR="00E5474F" w:rsidRPr="00D04DA2">
                <w:rPr>
                  <w:rStyle w:val="Hyperlink"/>
                  <w:rFonts w:eastAsia="Calibri" w:cstheme="minorHAnsi"/>
                  <w:sz w:val="20"/>
                  <w:szCs w:val="20"/>
                </w:rPr>
                <w:t>https://appsso.eurostat.ec.europa.eu/nui/show.do?dataset=sts_cobp_q&amp;lang=en</w:t>
              </w:r>
            </w:hyperlink>
          </w:p>
          <w:p w14:paraId="0AAA0E50" w14:textId="77777777" w:rsidR="00E5474F" w:rsidRPr="00D04DA2" w:rsidRDefault="00E5474F" w:rsidP="00D04DA2">
            <w:pPr>
              <w:spacing w:after="0" w:line="240" w:lineRule="auto"/>
              <w:contextualSpacing/>
              <w:rPr>
                <w:rFonts w:eastAsia="Calibri" w:cstheme="minorHAnsi"/>
                <w:sz w:val="20"/>
                <w:szCs w:val="20"/>
              </w:rPr>
            </w:pPr>
          </w:p>
        </w:tc>
      </w:tr>
      <w:tr w:rsidR="00A14DD4" w:rsidRPr="00D04DA2" w14:paraId="4748411E" w14:textId="77777777" w:rsidTr="00A14DD4">
        <w:trPr>
          <w:trHeight w:val="275"/>
        </w:trPr>
        <w:tc>
          <w:tcPr>
            <w:tcW w:w="510" w:type="dxa"/>
            <w:tcBorders>
              <w:top w:val="single" w:sz="4" w:space="0" w:color="auto"/>
              <w:left w:val="single" w:sz="4" w:space="0" w:color="auto"/>
              <w:bottom w:val="single" w:sz="4" w:space="0" w:color="auto"/>
              <w:right w:val="nil"/>
            </w:tcBorders>
            <w:shd w:val="clear" w:color="auto" w:fill="auto"/>
          </w:tcPr>
          <w:p w14:paraId="4C165BFB" w14:textId="7FED2656" w:rsidR="00A14DD4" w:rsidRPr="00D04DA2" w:rsidRDefault="00DA6EFC" w:rsidP="00D04DA2">
            <w:pPr>
              <w:spacing w:after="0" w:line="240" w:lineRule="auto"/>
              <w:contextualSpacing/>
              <w:rPr>
                <w:rFonts w:cstheme="minorHAnsi"/>
                <w:color w:val="000000"/>
                <w:sz w:val="20"/>
                <w:szCs w:val="20"/>
              </w:rPr>
            </w:pPr>
            <w:r w:rsidRPr="00D04DA2">
              <w:rPr>
                <w:rFonts w:cstheme="minorHAnsi"/>
                <w:color w:val="000000"/>
                <w:sz w:val="20"/>
                <w:szCs w:val="20"/>
              </w:rPr>
              <w:t>9</w:t>
            </w:r>
          </w:p>
        </w:tc>
        <w:tc>
          <w:tcPr>
            <w:tcW w:w="1341" w:type="dxa"/>
            <w:tcBorders>
              <w:top w:val="single" w:sz="4" w:space="0" w:color="auto"/>
              <w:left w:val="single" w:sz="4" w:space="0" w:color="auto"/>
              <w:bottom w:val="single" w:sz="4" w:space="0" w:color="auto"/>
              <w:right w:val="nil"/>
            </w:tcBorders>
            <w:shd w:val="clear" w:color="auto" w:fill="auto"/>
          </w:tcPr>
          <w:p w14:paraId="10D391B7" w14:textId="0A0E90CE" w:rsidR="00A14DD4" w:rsidRPr="00D04DA2" w:rsidRDefault="00A14DD4"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F89D1AE" w14:textId="6BD5DBCA" w:rsidR="00A14DD4" w:rsidRPr="00D04DA2" w:rsidRDefault="00A14DD4"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065DD3FD" w14:textId="77777777" w:rsidR="00A14DD4" w:rsidRPr="00D04DA2" w:rsidRDefault="00A14DD4" w:rsidP="00D04DA2">
            <w:pPr>
              <w:spacing w:after="0" w:line="240" w:lineRule="auto"/>
              <w:contextualSpacing/>
              <w:rPr>
                <w:rFonts w:cstheme="minorHAnsi"/>
                <w:sz w:val="20"/>
                <w:szCs w:val="20"/>
              </w:rPr>
            </w:pPr>
            <w:r w:rsidRPr="00D04DA2">
              <w:rPr>
                <w:rFonts w:cstheme="minorHAnsi"/>
                <w:sz w:val="20"/>
                <w:szCs w:val="20"/>
              </w:rPr>
              <w:t>Quality of electricity supply index</w:t>
            </w:r>
          </w:p>
          <w:p w14:paraId="589A5146" w14:textId="77777777" w:rsidR="00A14DD4" w:rsidRPr="00D04DA2" w:rsidRDefault="00A14DD4" w:rsidP="00D04DA2">
            <w:pPr>
              <w:spacing w:after="0" w:line="240" w:lineRule="auto"/>
              <w:contextualSpacing/>
              <w:rPr>
                <w:rFonts w:cstheme="minorHAnsi"/>
                <w:sz w:val="20"/>
                <w:szCs w:val="20"/>
              </w:rPr>
            </w:pPr>
          </w:p>
          <w:p w14:paraId="053DBC88" w14:textId="77777777" w:rsidR="00A14DD4" w:rsidRPr="00D04DA2" w:rsidRDefault="00A14DD4" w:rsidP="00D04DA2">
            <w:pPr>
              <w:spacing w:after="0" w:line="240" w:lineRule="auto"/>
              <w:contextualSpacing/>
              <w:rPr>
                <w:rFonts w:eastAsia="Calibr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76695A" w14:textId="52DE6D5F" w:rsidR="00A14DD4" w:rsidRPr="00D04DA2" w:rsidRDefault="00A14DD4" w:rsidP="00D04DA2">
            <w:pPr>
              <w:spacing w:after="0" w:line="240" w:lineRule="auto"/>
              <w:contextualSpacing/>
              <w:rPr>
                <w:rFonts w:eastAsia="Calibri" w:cstheme="minorHAnsi"/>
                <w:sz w:val="20"/>
                <w:szCs w:val="20"/>
              </w:rPr>
            </w:pPr>
            <w:r w:rsidRPr="00D04DA2">
              <w:rPr>
                <w:rFonts w:cstheme="minorHAnsi"/>
                <w:color w:val="000000"/>
                <w:sz w:val="20"/>
                <w:szCs w:val="20"/>
              </w:rPr>
              <w:t xml:space="preserve">Score 1-7 </w:t>
            </w:r>
            <w:r w:rsidRPr="00D04DA2">
              <w:rPr>
                <w:rFonts w:cstheme="minorHAnsi"/>
                <w:sz w:val="20"/>
                <w:szCs w:val="20"/>
              </w:rPr>
              <w:t>(</w:t>
            </w:r>
            <w:r w:rsidR="005B3835" w:rsidRPr="00D04DA2">
              <w:rPr>
                <w:rFonts w:cstheme="minorHAnsi"/>
                <w:sz w:val="20"/>
                <w:szCs w:val="20"/>
              </w:rPr>
              <w:t xml:space="preserve">where </w:t>
            </w:r>
            <w:r w:rsidRPr="00D04DA2">
              <w:rPr>
                <w:rFonts w:cstheme="minorHAnsi"/>
                <w:sz w:val="20"/>
                <w:szCs w:val="20"/>
              </w:rPr>
              <w:t xml:space="preserve">1 </w:t>
            </w:r>
            <w:r w:rsidR="005B3835" w:rsidRPr="00D04DA2">
              <w:rPr>
                <w:rFonts w:cstheme="minorHAnsi"/>
                <w:sz w:val="20"/>
                <w:szCs w:val="20"/>
              </w:rPr>
              <w:t>represents</w:t>
            </w:r>
            <w:r w:rsidRPr="00D04DA2">
              <w:rPr>
                <w:rFonts w:cstheme="minorHAnsi"/>
                <w:sz w:val="20"/>
                <w:szCs w:val="20"/>
              </w:rPr>
              <w:t xml:space="preserve"> insufficient </w:t>
            </w:r>
            <w:r w:rsidR="00E02BFB" w:rsidRPr="00D04DA2">
              <w:rPr>
                <w:rFonts w:cstheme="minorHAnsi"/>
                <w:sz w:val="20"/>
                <w:szCs w:val="20"/>
              </w:rPr>
              <w:t>reliability</w:t>
            </w:r>
            <w:r w:rsidRPr="00D04DA2">
              <w:rPr>
                <w:rFonts w:cstheme="minorHAnsi"/>
                <w:sz w:val="20"/>
                <w:szCs w:val="20"/>
              </w:rPr>
              <w:t xml:space="preserve">; 7 </w:t>
            </w:r>
            <w:r w:rsidR="00A03312" w:rsidRPr="00D04DA2">
              <w:rPr>
                <w:rFonts w:cstheme="minorHAnsi"/>
                <w:sz w:val="20"/>
                <w:szCs w:val="20"/>
              </w:rPr>
              <w:t>represent</w:t>
            </w:r>
            <w:r w:rsidR="00E8106D" w:rsidRPr="00D04DA2">
              <w:rPr>
                <w:rFonts w:cstheme="minorHAnsi"/>
                <w:sz w:val="20"/>
                <w:szCs w:val="20"/>
              </w:rPr>
              <w:t>s</w:t>
            </w:r>
            <w:r w:rsidRPr="00D04DA2">
              <w:rPr>
                <w:rFonts w:cstheme="minorHAnsi"/>
                <w:sz w:val="20"/>
                <w:szCs w:val="20"/>
              </w:rPr>
              <w:t xml:space="preserve"> sufficient reliab</w:t>
            </w:r>
            <w:r w:rsidR="00757BBC" w:rsidRPr="00D04DA2">
              <w:rPr>
                <w:rFonts w:cstheme="minorHAnsi"/>
                <w:sz w:val="20"/>
                <w:szCs w:val="20"/>
              </w:rPr>
              <w:t>ility</w:t>
            </w:r>
            <w:r w:rsidRPr="00D04DA2">
              <w:rPr>
                <w:rFonts w:cstheme="minorHAnsi"/>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5B46129" w14:textId="579D7ACC" w:rsidR="00A14DD4" w:rsidRPr="00D04DA2" w:rsidRDefault="00A14DD4" w:rsidP="00D04DA2">
            <w:pPr>
              <w:spacing w:after="0" w:line="240" w:lineRule="auto"/>
              <w:contextualSpacing/>
              <w:rPr>
                <w:rFonts w:cstheme="minorHAnsi"/>
                <w:color w:val="000000" w:themeColor="text1"/>
                <w:sz w:val="20"/>
                <w:szCs w:val="20"/>
              </w:rPr>
            </w:pPr>
            <w:r w:rsidRPr="00D04DA2">
              <w:rPr>
                <w:rFonts w:cstheme="minorHAnsi"/>
                <w:sz w:val="20"/>
                <w:szCs w:val="20"/>
              </w:rPr>
              <w:t>World Economic Forum - Global Energy Architecture Performance Index</w:t>
            </w:r>
          </w:p>
        </w:tc>
        <w:tc>
          <w:tcPr>
            <w:tcW w:w="1341" w:type="dxa"/>
            <w:tcBorders>
              <w:top w:val="single" w:sz="4" w:space="0" w:color="auto"/>
              <w:left w:val="nil"/>
              <w:bottom w:val="single" w:sz="4" w:space="0" w:color="auto"/>
              <w:right w:val="single" w:sz="4" w:space="0" w:color="auto"/>
            </w:tcBorders>
            <w:shd w:val="clear" w:color="auto" w:fill="auto"/>
          </w:tcPr>
          <w:p w14:paraId="040035F8" w14:textId="559BBFB0" w:rsidR="00A14DD4" w:rsidRPr="00D04DA2" w:rsidRDefault="00DA2082"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1BAABFE" w14:textId="77777777" w:rsidR="00A14DD4" w:rsidRPr="00D04DA2" w:rsidRDefault="00A14DD4" w:rsidP="00D04DA2">
            <w:pPr>
              <w:spacing w:after="0" w:line="240" w:lineRule="auto"/>
              <w:contextualSpacing/>
              <w:rPr>
                <w:rFonts w:cstheme="minorHAnsi"/>
                <w:sz w:val="20"/>
                <w:szCs w:val="20"/>
              </w:rPr>
            </w:pPr>
            <w:r w:rsidRPr="00D04DA2">
              <w:rPr>
                <w:rFonts w:cstheme="minorHAnsi"/>
                <w:sz w:val="20"/>
                <w:szCs w:val="20"/>
              </w:rPr>
              <w:t xml:space="preserve">Quality of electricity supply measures how reliable the electricity supply is (lack of interruptions and lack of voltage fluctuations). </w:t>
            </w:r>
          </w:p>
          <w:p w14:paraId="7164EC90" w14:textId="77777777" w:rsidR="00A14DD4" w:rsidRPr="00D04DA2" w:rsidRDefault="00A14DD4" w:rsidP="00D04DA2">
            <w:pPr>
              <w:spacing w:after="0" w:line="240" w:lineRule="auto"/>
              <w:contextualSpacing/>
              <w:rPr>
                <w:rFonts w:cstheme="minorHAnsi"/>
                <w:sz w:val="20"/>
                <w:szCs w:val="20"/>
              </w:rPr>
            </w:pPr>
          </w:p>
          <w:p w14:paraId="172316EE" w14:textId="77777777" w:rsidR="00A14DD4" w:rsidRPr="00D04DA2" w:rsidRDefault="00A14DD4" w:rsidP="00D04DA2">
            <w:pPr>
              <w:spacing w:after="0" w:line="240" w:lineRule="auto"/>
              <w:contextualSpacing/>
              <w:rPr>
                <w:rFonts w:cstheme="minorHAnsi"/>
                <w:color w:val="000000" w:themeColor="text1"/>
                <w:sz w:val="20"/>
                <w:szCs w:val="20"/>
              </w:rPr>
            </w:pPr>
          </w:p>
        </w:tc>
        <w:tc>
          <w:tcPr>
            <w:tcW w:w="1485" w:type="dxa"/>
            <w:tcBorders>
              <w:top w:val="single" w:sz="4" w:space="0" w:color="auto"/>
              <w:left w:val="nil"/>
              <w:bottom w:val="single" w:sz="4" w:space="0" w:color="auto"/>
              <w:right w:val="single" w:sz="4" w:space="0" w:color="auto"/>
            </w:tcBorders>
            <w:shd w:val="clear" w:color="auto" w:fill="auto"/>
          </w:tcPr>
          <w:p w14:paraId="383365E7" w14:textId="47D4407B" w:rsidR="00A14DD4" w:rsidRPr="00D04DA2" w:rsidRDefault="00A14DD4" w:rsidP="00D04DA2">
            <w:pPr>
              <w:spacing w:after="0" w:line="240" w:lineRule="auto"/>
              <w:contextualSpacing/>
              <w:rPr>
                <w:rFonts w:cstheme="minorHAnsi"/>
                <w:color w:val="000000" w:themeColor="text1"/>
                <w:sz w:val="20"/>
                <w:szCs w:val="20"/>
              </w:rPr>
            </w:pPr>
            <w:r w:rsidRPr="00D04DA2">
              <w:rPr>
                <w:rFonts w:eastAsia="Times New Roman"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6D926A9" w14:textId="34BA9C4E" w:rsidR="00A14DD4" w:rsidRPr="00D04DA2" w:rsidRDefault="00A14DD4" w:rsidP="00D04DA2">
            <w:pPr>
              <w:spacing w:after="0" w:line="240" w:lineRule="auto"/>
              <w:contextualSpacing/>
              <w:rPr>
                <w:rFonts w:cstheme="minorHAnsi"/>
                <w:color w:val="000000" w:themeColor="text1"/>
                <w:sz w:val="20"/>
                <w:szCs w:val="20"/>
              </w:rPr>
            </w:pPr>
            <w:r w:rsidRPr="00D04DA2">
              <w:rPr>
                <w:rFonts w:eastAsia="Times New Roman"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ACEFC4" w14:textId="760B2C35" w:rsidR="00A14DD4" w:rsidRPr="00D04DA2" w:rsidRDefault="00A14DD4" w:rsidP="00D04DA2">
            <w:pPr>
              <w:spacing w:after="0" w:line="240" w:lineRule="auto"/>
              <w:contextualSpacing/>
              <w:rPr>
                <w:rFonts w:cstheme="minorHAnsi"/>
                <w:color w:val="000000" w:themeColor="text1"/>
                <w:sz w:val="20"/>
                <w:szCs w:val="20"/>
              </w:rPr>
            </w:pPr>
            <w:r w:rsidRPr="00D04DA2">
              <w:rPr>
                <w:rFonts w:cstheme="minorHAnsi"/>
                <w:sz w:val="20"/>
                <w:szCs w:val="20"/>
              </w:rPr>
              <w:t>152</w:t>
            </w:r>
            <w:r w:rsidRPr="00D04DA2" w:rsidDel="00A13FD3">
              <w:rPr>
                <w:rFonts w:cstheme="minorHAnsi"/>
                <w:sz w:val="20"/>
                <w:szCs w:val="20"/>
              </w:rPr>
              <w:t xml:space="preserve"> </w:t>
            </w:r>
            <w:r w:rsidRPr="00D04DA2">
              <w:rPr>
                <w:rFonts w:cstheme="minorHAnsi"/>
                <w:sz w:val="20"/>
                <w:szCs w:val="20"/>
              </w:rPr>
              <w:t xml:space="preserve">economies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773241" w14:textId="3F0B0FD2" w:rsidR="00A14DD4" w:rsidRPr="00D04DA2" w:rsidRDefault="00583C2C"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17</w:t>
            </w:r>
            <w:r w:rsidR="00C77F34">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ABDF39" w14:textId="7B2EB1BB" w:rsidR="00A14DD4" w:rsidRPr="00D04DA2" w:rsidRDefault="00A14DD4" w:rsidP="00D04DA2">
            <w:pPr>
              <w:spacing w:after="0" w:line="240" w:lineRule="auto"/>
              <w:contextualSpacing/>
              <w:rPr>
                <w:rFonts w:eastAsia="Times New Roman" w:cstheme="minorHAnsi"/>
                <w:sz w:val="20"/>
                <w:szCs w:val="20"/>
              </w:rPr>
            </w:pPr>
            <w:r w:rsidRPr="00D04DA2">
              <w:rPr>
                <w:rFonts w:eastAsia="Times New Roman" w:cstheme="minorHAnsi"/>
                <w:sz w:val="20"/>
                <w:szCs w:val="20"/>
              </w:rPr>
              <w:t>Annual</w:t>
            </w:r>
            <w:r w:rsidR="00401EA8" w:rsidRPr="00D04DA2">
              <w:rPr>
                <w:rFonts w:eastAsia="Times New Roman" w:cstheme="minorHAnsi"/>
                <w:sz w:val="20"/>
                <w:szCs w:val="20"/>
              </w:rPr>
              <w:t>.</w:t>
            </w:r>
          </w:p>
          <w:p w14:paraId="4D9F4BD2" w14:textId="77777777" w:rsidR="00A14DD4" w:rsidRPr="00D04DA2" w:rsidRDefault="00A14DD4" w:rsidP="00D04DA2">
            <w:pPr>
              <w:spacing w:after="0" w:line="240" w:lineRule="auto"/>
              <w:contextualSpacing/>
              <w:rPr>
                <w:rFonts w:eastAsia="Times New Roman" w:cstheme="minorHAnsi"/>
                <w:sz w:val="20"/>
                <w:szCs w:val="20"/>
              </w:rPr>
            </w:pPr>
          </w:p>
          <w:p w14:paraId="732CA761" w14:textId="77777777" w:rsidR="00A14DD4" w:rsidRPr="00D04DA2" w:rsidRDefault="00A14DD4" w:rsidP="00D04DA2">
            <w:pPr>
              <w:spacing w:after="0" w:line="240" w:lineRule="auto"/>
              <w:contextualSpacing/>
              <w:rPr>
                <w:rFonts w:eastAsia="Times New Roman" w:cstheme="minorHAnsi"/>
                <w:sz w:val="20"/>
                <w:szCs w:val="20"/>
              </w:rPr>
            </w:pPr>
            <w:r w:rsidRPr="00D04DA2">
              <w:rPr>
                <w:rFonts w:eastAsia="Times New Roman" w:cstheme="minorHAnsi"/>
                <w:sz w:val="20"/>
                <w:szCs w:val="20"/>
              </w:rPr>
              <w:t xml:space="preserve">The indicator is published for 2007-2017. </w:t>
            </w:r>
          </w:p>
          <w:p w14:paraId="13CFD1CA" w14:textId="77777777" w:rsidR="00A14DD4" w:rsidRPr="00D04DA2" w:rsidRDefault="00A14DD4" w:rsidP="00D04DA2">
            <w:pPr>
              <w:spacing w:after="0" w:line="240" w:lineRule="auto"/>
              <w:contextualSpacing/>
              <w:rPr>
                <w:rFonts w:cstheme="minorHAnsi"/>
                <w:color w:val="000000" w:themeColor="text1"/>
                <w:sz w:val="20"/>
                <w:szCs w:val="20"/>
              </w:rPr>
            </w:pPr>
          </w:p>
        </w:tc>
        <w:tc>
          <w:tcPr>
            <w:tcW w:w="1664" w:type="dxa"/>
            <w:tcBorders>
              <w:top w:val="single" w:sz="4" w:space="0" w:color="auto"/>
              <w:left w:val="nil"/>
              <w:bottom w:val="single" w:sz="4" w:space="0" w:color="auto"/>
              <w:right w:val="single" w:sz="4" w:space="0" w:color="auto"/>
            </w:tcBorders>
            <w:shd w:val="clear" w:color="auto" w:fill="auto"/>
          </w:tcPr>
          <w:p w14:paraId="652CC556" w14:textId="77777777" w:rsidR="00A14DD4" w:rsidRPr="00D04DA2" w:rsidRDefault="00FA1285" w:rsidP="00D04DA2">
            <w:pPr>
              <w:spacing w:after="0" w:line="240" w:lineRule="auto"/>
              <w:contextualSpacing/>
              <w:rPr>
                <w:rFonts w:eastAsia="Times New Roman" w:cstheme="minorHAnsi"/>
                <w:sz w:val="20"/>
                <w:szCs w:val="20"/>
              </w:rPr>
            </w:pPr>
            <w:hyperlink r:id="rId18" w:history="1">
              <w:r w:rsidR="00A14DD4" w:rsidRPr="00D04DA2">
                <w:rPr>
                  <w:rStyle w:val="Hyperlink"/>
                  <w:rFonts w:eastAsia="Times New Roman" w:cstheme="minorHAnsi"/>
                  <w:sz w:val="20"/>
                  <w:szCs w:val="20"/>
                </w:rPr>
                <w:t>https://tcdata360.worldbank.org/indicators/gci?country=BRA&amp;indicator=631&amp;viz=line_chart&amp;years=2007,2017</w:t>
              </w:r>
            </w:hyperlink>
          </w:p>
          <w:p w14:paraId="019B5820" w14:textId="77777777" w:rsidR="00A14DD4" w:rsidRPr="00D04DA2" w:rsidRDefault="00A14DD4" w:rsidP="00D04DA2">
            <w:pPr>
              <w:spacing w:after="0" w:line="240" w:lineRule="auto"/>
              <w:contextualSpacing/>
              <w:rPr>
                <w:rFonts w:eastAsia="Times New Roman" w:cstheme="minorHAnsi"/>
                <w:sz w:val="20"/>
                <w:szCs w:val="20"/>
              </w:rPr>
            </w:pPr>
          </w:p>
          <w:p w14:paraId="26AFF49F" w14:textId="3F907BF9" w:rsidR="00A14DD4" w:rsidRPr="00D04DA2" w:rsidRDefault="00FA1285" w:rsidP="00D04DA2">
            <w:pPr>
              <w:spacing w:after="0" w:line="240" w:lineRule="auto"/>
              <w:contextualSpacing/>
              <w:rPr>
                <w:rFonts w:cstheme="minorHAnsi"/>
                <w:sz w:val="20"/>
                <w:szCs w:val="20"/>
              </w:rPr>
            </w:pPr>
            <w:hyperlink r:id="rId19" w:history="1">
              <w:r w:rsidR="00A14DD4" w:rsidRPr="00D04DA2">
                <w:rPr>
                  <w:rStyle w:val="Hyperlink"/>
                  <w:rFonts w:eastAsia="Times New Roman" w:cstheme="minorHAnsi"/>
                  <w:sz w:val="20"/>
                  <w:szCs w:val="20"/>
                </w:rPr>
                <w:t>http://reports.weforum.org/pdf/gci-2017-2018-scorecard/WEF_GCI_2017_2018_Scorecard_EOSQ064.pdf</w:t>
              </w:r>
            </w:hyperlink>
          </w:p>
        </w:tc>
      </w:tr>
      <w:tr w:rsidR="004B6F95" w:rsidRPr="00D04DA2" w14:paraId="33469D3A" w14:textId="77777777" w:rsidTr="006655B8">
        <w:trPr>
          <w:trHeight w:val="275"/>
        </w:trPr>
        <w:tc>
          <w:tcPr>
            <w:tcW w:w="510" w:type="dxa"/>
            <w:tcBorders>
              <w:top w:val="single" w:sz="4" w:space="0" w:color="auto"/>
              <w:left w:val="single" w:sz="4" w:space="0" w:color="auto"/>
              <w:bottom w:val="single" w:sz="4" w:space="0" w:color="auto"/>
              <w:right w:val="nil"/>
            </w:tcBorders>
          </w:tcPr>
          <w:p w14:paraId="7AEC2F9D" w14:textId="2A3190C5" w:rsidR="00E5474F" w:rsidRPr="00D04DA2" w:rsidRDefault="00DA6EFC" w:rsidP="00D04DA2">
            <w:pPr>
              <w:spacing w:after="0" w:line="240" w:lineRule="auto"/>
              <w:contextualSpacing/>
              <w:rPr>
                <w:rFonts w:cstheme="minorHAnsi"/>
                <w:color w:val="000000"/>
                <w:sz w:val="20"/>
                <w:szCs w:val="20"/>
              </w:rPr>
            </w:pPr>
            <w:r w:rsidRPr="00D04DA2">
              <w:rPr>
                <w:rFonts w:cstheme="minorHAnsi"/>
                <w:color w:val="000000"/>
                <w:sz w:val="20"/>
                <w:szCs w:val="20"/>
              </w:rPr>
              <w:t>10</w:t>
            </w:r>
          </w:p>
        </w:tc>
        <w:tc>
          <w:tcPr>
            <w:tcW w:w="1341" w:type="dxa"/>
            <w:tcBorders>
              <w:top w:val="single" w:sz="4" w:space="0" w:color="auto"/>
              <w:left w:val="single" w:sz="4" w:space="0" w:color="auto"/>
              <w:bottom w:val="single" w:sz="4" w:space="0" w:color="auto"/>
              <w:right w:val="nil"/>
            </w:tcBorders>
          </w:tcPr>
          <w:p w14:paraId="51EB86C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539D8988"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DB20411" w14:textId="1BA8B63B"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N</w:t>
            </w:r>
            <w:r w:rsidRPr="00D04DA2">
              <w:rPr>
                <w:rFonts w:cstheme="minorHAnsi"/>
                <w:sz w:val="20"/>
                <w:szCs w:val="20"/>
              </w:rPr>
              <w:t xml:space="preserve">umber of electrical outages in a typical month </w:t>
            </w:r>
          </w:p>
          <w:p w14:paraId="1152DBF7" w14:textId="77777777" w:rsidR="00E5474F" w:rsidRPr="00D04DA2" w:rsidRDefault="00E5474F" w:rsidP="00D04DA2">
            <w:pPr>
              <w:spacing w:after="0" w:line="240" w:lineRule="auto"/>
              <w:contextualSpacing/>
              <w:rPr>
                <w:rFonts w:cstheme="minorHAnsi"/>
                <w:sz w:val="20"/>
                <w:szCs w:val="20"/>
              </w:rPr>
            </w:pPr>
          </w:p>
          <w:p w14:paraId="32CD59C3" w14:textId="77777777" w:rsidR="00E5474F" w:rsidRPr="00D04DA2" w:rsidRDefault="00E5474F" w:rsidP="00D04DA2">
            <w:pPr>
              <w:spacing w:after="0" w:line="240" w:lineRule="auto"/>
              <w:contextualSpacing/>
              <w:rPr>
                <w:rFonts w:cstheme="minorHAnsi"/>
                <w:sz w:val="20"/>
                <w:szCs w:val="20"/>
              </w:rPr>
            </w:pPr>
          </w:p>
          <w:p w14:paraId="0AF96F2D" w14:textId="77777777" w:rsidR="00E5474F" w:rsidRPr="00D04DA2" w:rsidRDefault="00E5474F" w:rsidP="00D04DA2">
            <w:pPr>
              <w:spacing w:after="0" w:line="240" w:lineRule="auto"/>
              <w:contextualSpacing/>
              <w:rPr>
                <w:rFonts w:cstheme="minorHAns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E2AC2F4" w14:textId="5F2C8632"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lastRenderedPageBreak/>
              <w:t xml:space="preserve">Number </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85C78E" w14:textId="197CC785" w:rsidR="00E5474F" w:rsidRPr="00D04DA2" w:rsidRDefault="00E5474F" w:rsidP="00D04DA2">
            <w:pPr>
              <w:spacing w:after="0" w:line="240" w:lineRule="auto"/>
              <w:contextualSpacing/>
              <w:rPr>
                <w:rFonts w:cstheme="minorHAnsi"/>
                <w:color w:val="000000"/>
                <w:sz w:val="20"/>
                <w:szCs w:val="20"/>
              </w:rPr>
            </w:pPr>
            <w:r w:rsidRPr="00D04DA2">
              <w:rPr>
                <w:rFonts w:cstheme="minorHAnsi"/>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auto"/>
          </w:tcPr>
          <w:p w14:paraId="4C458646" w14:textId="77777777" w:rsidR="00E5474F" w:rsidRPr="00D04DA2" w:rsidRDefault="00E5474F" w:rsidP="00D04DA2">
            <w:pPr>
              <w:spacing w:after="0" w:line="240" w:lineRule="auto"/>
              <w:contextualSpacing/>
              <w:rPr>
                <w:rFonts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23D16A7" w14:textId="1DE9A719"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Enterprise Surveys cover a range of business environment topics including Infrastructure and Services, which measures power, water, transport, and communication technologies.</w:t>
            </w:r>
            <w:r w:rsidR="00004906" w:rsidRPr="00D04DA2">
              <w:rPr>
                <w:rFonts w:cstheme="minorHAnsi"/>
                <w:sz w:val="20"/>
                <w:szCs w:val="20"/>
              </w:rPr>
              <w:t xml:space="preserve"> They cover the frequency of electricity outages, inter alia.</w:t>
            </w:r>
          </w:p>
          <w:p w14:paraId="1C9ADBBD" w14:textId="77777777" w:rsidR="00E5474F" w:rsidRPr="00D04DA2" w:rsidRDefault="00E5474F" w:rsidP="00D04DA2">
            <w:pPr>
              <w:spacing w:after="0" w:line="240" w:lineRule="auto"/>
              <w:contextualSpacing/>
              <w:rPr>
                <w:rFonts w:cstheme="minorHAnsi"/>
                <w:color w:val="000000"/>
                <w:sz w:val="20"/>
                <w:szCs w:val="20"/>
              </w:rPr>
            </w:pPr>
          </w:p>
        </w:tc>
        <w:tc>
          <w:tcPr>
            <w:tcW w:w="1485" w:type="dxa"/>
            <w:tcBorders>
              <w:top w:val="single" w:sz="4" w:space="0" w:color="auto"/>
              <w:left w:val="nil"/>
              <w:bottom w:val="single" w:sz="4" w:space="0" w:color="auto"/>
              <w:right w:val="single" w:sz="4" w:space="0" w:color="auto"/>
            </w:tcBorders>
          </w:tcPr>
          <w:p w14:paraId="7FDC5F09" w14:textId="2661FE2B" w:rsidR="00E5474F" w:rsidRPr="00D04DA2" w:rsidRDefault="00D02771" w:rsidP="00D04DA2">
            <w:pPr>
              <w:spacing w:after="0" w:line="240" w:lineRule="auto"/>
              <w:contextualSpacing/>
              <w:rPr>
                <w:rFonts w:eastAsia="Times New Roman" w:cstheme="minorHAnsi"/>
                <w:sz w:val="20"/>
                <w:szCs w:val="20"/>
              </w:rPr>
            </w:pPr>
            <w:r w:rsidRPr="00D04DA2">
              <w:rPr>
                <w:rFonts w:eastAsia="Times New Roman"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tcPr>
          <w:p w14:paraId="7BEC97AE" w14:textId="2D50626B"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83ECFD" w14:textId="64EE0BB9" w:rsidR="00E5474F" w:rsidRPr="00D04DA2" w:rsidRDefault="00D913BF" w:rsidP="00D04DA2">
            <w:pPr>
              <w:spacing w:after="0" w:line="240" w:lineRule="auto"/>
              <w:contextualSpacing/>
              <w:rPr>
                <w:rFonts w:cstheme="minorHAnsi"/>
                <w:color w:val="000000"/>
                <w:sz w:val="20"/>
                <w:szCs w:val="20"/>
              </w:rPr>
            </w:pPr>
            <w:r w:rsidRPr="00D04DA2">
              <w:rPr>
                <w:rFonts w:cstheme="minorHAnsi"/>
                <w:sz w:val="20"/>
                <w:szCs w:val="20"/>
              </w:rPr>
              <w:t>148 economies</w:t>
            </w:r>
          </w:p>
        </w:tc>
        <w:tc>
          <w:tcPr>
            <w:tcW w:w="1418" w:type="dxa"/>
            <w:tcBorders>
              <w:top w:val="single" w:sz="4" w:space="0" w:color="auto"/>
              <w:left w:val="single" w:sz="4" w:space="0" w:color="auto"/>
              <w:bottom w:val="single" w:sz="4" w:space="0" w:color="auto"/>
              <w:right w:val="single" w:sz="4" w:space="0" w:color="auto"/>
            </w:tcBorders>
          </w:tcPr>
          <w:p w14:paraId="2BFAF622" w14:textId="337239CE" w:rsidR="00E5474F" w:rsidRPr="00D04DA2" w:rsidRDefault="00CF0A89" w:rsidP="00D04DA2">
            <w:pPr>
              <w:spacing w:after="0" w:line="240" w:lineRule="auto"/>
              <w:contextualSpacing/>
              <w:rPr>
                <w:rFonts w:eastAsia="Times New Roman" w:cstheme="minorHAnsi"/>
                <w:sz w:val="20"/>
                <w:szCs w:val="20"/>
              </w:rPr>
            </w:pPr>
            <w:r>
              <w:rPr>
                <w:rFonts w:eastAsia="Times New Roman" w:cstheme="minorHAnsi"/>
                <w:sz w:val="20"/>
                <w:szCs w:val="20"/>
              </w:rPr>
              <w:t>24</w:t>
            </w:r>
            <w:r w:rsidR="00D62F12">
              <w:rPr>
                <w:rFonts w:eastAsia="Times New Roman" w:cstheme="minorHAnsi"/>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278CA3" w14:textId="1B44A023"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 xml:space="preserve">The Enterprise Surveys are conducted in about 17 economies </w:t>
            </w:r>
            <w:r w:rsidRPr="00D04DA2">
              <w:rPr>
                <w:rFonts w:eastAsia="Times New Roman" w:cstheme="minorHAnsi"/>
                <w:sz w:val="20"/>
                <w:szCs w:val="20"/>
              </w:rPr>
              <w:lastRenderedPageBreak/>
              <w:t>each year. The latest data can refer to 2021 (e.g., for Austria) or 2009 (e.g., Brazil).</w:t>
            </w:r>
          </w:p>
          <w:p w14:paraId="625C77D3" w14:textId="77777777" w:rsidR="004B6F95" w:rsidRPr="00D04DA2" w:rsidRDefault="004B6F95" w:rsidP="00D04DA2">
            <w:pPr>
              <w:spacing w:after="0" w:line="240" w:lineRule="auto"/>
              <w:contextualSpacing/>
              <w:rPr>
                <w:rFonts w:eastAsia="Times New Roman" w:cstheme="minorHAnsi"/>
                <w:sz w:val="20"/>
                <w:szCs w:val="20"/>
              </w:rPr>
            </w:pPr>
          </w:p>
          <w:p w14:paraId="164B242E" w14:textId="726027E8" w:rsidR="00E5474F" w:rsidRPr="00D04DA2" w:rsidRDefault="005D679F" w:rsidP="00D04DA2">
            <w:pPr>
              <w:spacing w:after="0" w:line="240" w:lineRule="auto"/>
              <w:contextualSpacing/>
              <w:rPr>
                <w:rFonts w:cstheme="minorHAnsi"/>
                <w:color w:val="000000"/>
                <w:sz w:val="20"/>
                <w:szCs w:val="20"/>
              </w:rPr>
            </w:pPr>
            <w:r w:rsidRPr="00D04DA2">
              <w:rPr>
                <w:rFonts w:cstheme="minorHAnsi"/>
                <w:color w:val="000000"/>
                <w:sz w:val="20"/>
                <w:szCs w:val="20"/>
              </w:rPr>
              <w:t>The indicator is published for 2006-2021.</w:t>
            </w:r>
          </w:p>
        </w:tc>
        <w:tc>
          <w:tcPr>
            <w:tcW w:w="1664" w:type="dxa"/>
            <w:tcBorders>
              <w:top w:val="single" w:sz="4" w:space="0" w:color="auto"/>
              <w:left w:val="nil"/>
              <w:bottom w:val="single" w:sz="4" w:space="0" w:color="auto"/>
              <w:right w:val="single" w:sz="4" w:space="0" w:color="auto"/>
            </w:tcBorders>
          </w:tcPr>
          <w:p w14:paraId="5BB7BFD1"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lastRenderedPageBreak/>
              <w:t>https://www.enterprisesurveys.org/en/data/exploretopics/infrastructure</w:t>
            </w:r>
          </w:p>
        </w:tc>
      </w:tr>
      <w:tr w:rsidR="009E44AF" w:rsidRPr="00D04DA2" w14:paraId="240B1BB8" w14:textId="77777777" w:rsidTr="167C0426">
        <w:trPr>
          <w:trHeight w:val="275"/>
        </w:trPr>
        <w:tc>
          <w:tcPr>
            <w:tcW w:w="510" w:type="dxa"/>
            <w:tcBorders>
              <w:top w:val="single" w:sz="4" w:space="0" w:color="auto"/>
              <w:left w:val="single" w:sz="4" w:space="0" w:color="auto"/>
              <w:bottom w:val="single" w:sz="4" w:space="0" w:color="auto"/>
              <w:right w:val="nil"/>
            </w:tcBorders>
          </w:tcPr>
          <w:p w14:paraId="370A8DEA" w14:textId="6BE359CE" w:rsidR="00E5474F" w:rsidRPr="00D04DA2" w:rsidRDefault="00A14DD4" w:rsidP="00D04DA2">
            <w:pPr>
              <w:spacing w:after="0" w:line="240" w:lineRule="auto"/>
              <w:contextualSpacing/>
              <w:rPr>
                <w:rFonts w:cstheme="minorHAnsi"/>
                <w:color w:val="000000"/>
                <w:sz w:val="20"/>
                <w:szCs w:val="20"/>
              </w:rPr>
            </w:pPr>
            <w:r w:rsidRPr="00D04DA2">
              <w:rPr>
                <w:rFonts w:cstheme="minorHAnsi"/>
                <w:color w:val="000000"/>
                <w:sz w:val="20"/>
                <w:szCs w:val="20"/>
              </w:rPr>
              <w:t>1</w:t>
            </w:r>
            <w:r w:rsidR="00DA6EFC" w:rsidRPr="00D04DA2">
              <w:rPr>
                <w:rFonts w:cstheme="minorHAnsi"/>
                <w:color w:val="000000"/>
                <w:sz w:val="20"/>
                <w:szCs w:val="20"/>
              </w:rPr>
              <w:t>1</w:t>
            </w:r>
          </w:p>
        </w:tc>
        <w:tc>
          <w:tcPr>
            <w:tcW w:w="1341" w:type="dxa"/>
            <w:tcBorders>
              <w:top w:val="single" w:sz="4" w:space="0" w:color="auto"/>
              <w:left w:val="single" w:sz="4" w:space="0" w:color="auto"/>
              <w:bottom w:val="single" w:sz="4" w:space="0" w:color="auto"/>
              <w:right w:val="nil"/>
            </w:tcBorders>
          </w:tcPr>
          <w:p w14:paraId="2AF32DA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4E2B9C9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7A2216ED" w14:textId="4C8C5BF4"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A</w:t>
            </w:r>
            <w:r w:rsidRPr="00D04DA2">
              <w:rPr>
                <w:rFonts w:cstheme="minorHAnsi"/>
                <w:sz w:val="20"/>
                <w:szCs w:val="20"/>
              </w:rPr>
              <w:t xml:space="preserve">verage duration of a typical electrical outage </w:t>
            </w:r>
          </w:p>
          <w:p w14:paraId="08D68168" w14:textId="77777777" w:rsidR="00E5474F" w:rsidRPr="00D04DA2" w:rsidRDefault="00E5474F" w:rsidP="00D04DA2">
            <w:pPr>
              <w:spacing w:after="0" w:line="240" w:lineRule="auto"/>
              <w:contextualSpacing/>
              <w:rPr>
                <w:rFonts w:cstheme="minorHAnsi"/>
                <w:sz w:val="20"/>
                <w:szCs w:val="20"/>
              </w:rPr>
            </w:pPr>
          </w:p>
          <w:p w14:paraId="282F1746" w14:textId="77777777" w:rsidR="00E5474F" w:rsidRPr="00D04DA2" w:rsidRDefault="00E5474F" w:rsidP="00D04DA2">
            <w:pPr>
              <w:spacing w:after="0" w:line="240" w:lineRule="auto"/>
              <w:contextualSpacing/>
              <w:rPr>
                <w:rFonts w:cstheme="minorHAnsi"/>
                <w:sz w:val="20"/>
                <w:szCs w:val="20"/>
              </w:rPr>
            </w:pPr>
          </w:p>
          <w:p w14:paraId="319C9D84" w14:textId="77777777" w:rsidR="00E5474F" w:rsidRPr="00D04DA2" w:rsidRDefault="00E5474F" w:rsidP="00D04DA2">
            <w:pPr>
              <w:spacing w:after="0" w:line="240" w:lineRule="auto"/>
              <w:contextualSpacing/>
              <w:rPr>
                <w:rFonts w:cstheme="minorHAnsi"/>
                <w:sz w:val="20"/>
                <w:szCs w:val="20"/>
              </w:rPr>
            </w:pPr>
          </w:p>
          <w:p w14:paraId="6053968F" w14:textId="77777777" w:rsidR="00E5474F" w:rsidRPr="00D04DA2" w:rsidRDefault="00E5474F" w:rsidP="00D04DA2">
            <w:pPr>
              <w:spacing w:after="0" w:line="240" w:lineRule="auto"/>
              <w:contextualSpacing/>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C3E257" w14:textId="51924D5A" w:rsidR="00E5474F" w:rsidRPr="00D04DA2" w:rsidRDefault="00872E0B" w:rsidP="00D04DA2">
            <w:pPr>
              <w:spacing w:after="0" w:line="240" w:lineRule="auto"/>
              <w:contextualSpacing/>
              <w:rPr>
                <w:rFonts w:cstheme="minorHAnsi"/>
                <w:sz w:val="20"/>
                <w:szCs w:val="20"/>
              </w:rPr>
            </w:pPr>
            <w:r w:rsidRPr="00D04DA2">
              <w:rPr>
                <w:rFonts w:cstheme="minorHAnsi"/>
                <w:sz w:val="20"/>
                <w:szCs w:val="20"/>
              </w:rPr>
              <w:t>H</w:t>
            </w:r>
            <w:r w:rsidR="00E5474F" w:rsidRPr="00D04DA2">
              <w:rPr>
                <w:rFonts w:cstheme="minorHAnsi"/>
                <w:sz w:val="20"/>
                <w:szCs w:val="20"/>
              </w:rPr>
              <w:t>ours</w:t>
            </w:r>
          </w:p>
          <w:p w14:paraId="52CED6C8" w14:textId="77777777" w:rsidR="00E5474F" w:rsidRPr="00D04DA2" w:rsidRDefault="00E5474F" w:rsidP="00D04DA2">
            <w:pPr>
              <w:spacing w:after="0" w:line="240" w:lineRule="auto"/>
              <w:contextualSpacing/>
              <w:rPr>
                <w:rFonts w:cstheme="minorHAnsi"/>
                <w:i/>
                <w:iCs/>
                <w:sz w:val="20"/>
                <w:szCs w:val="20"/>
                <w:u w:val="single"/>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41292D2" w14:textId="2EC80BA2"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auto"/>
          </w:tcPr>
          <w:p w14:paraId="37975CCE"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4D00E7F" w14:textId="036E9CF4"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Enterprise Surveys cover a range of business environment topics including Infrastructure and Services, which measures power, water, transport, and communication technologies.  They cover</w:t>
            </w:r>
            <w:r w:rsidR="004B6F95" w:rsidRPr="00D04DA2">
              <w:rPr>
                <w:rFonts w:cstheme="minorHAnsi"/>
                <w:sz w:val="20"/>
                <w:szCs w:val="20"/>
              </w:rPr>
              <w:t xml:space="preserve"> </w:t>
            </w:r>
            <w:r w:rsidR="00004906" w:rsidRPr="00D04DA2">
              <w:rPr>
                <w:rFonts w:cstheme="minorHAnsi"/>
                <w:sz w:val="20"/>
                <w:szCs w:val="20"/>
              </w:rPr>
              <w:t>the duration of</w:t>
            </w:r>
            <w:r w:rsidRPr="00D04DA2">
              <w:rPr>
                <w:rFonts w:cstheme="minorHAnsi"/>
                <w:sz w:val="20"/>
                <w:szCs w:val="20"/>
              </w:rPr>
              <w:t xml:space="preserve"> electricity outages, inter alia.</w:t>
            </w:r>
          </w:p>
          <w:p w14:paraId="7CC8F8CC" w14:textId="77777777" w:rsidR="00E5474F" w:rsidRPr="00D04DA2" w:rsidRDefault="00E5474F" w:rsidP="00D04DA2">
            <w:pPr>
              <w:spacing w:after="0" w:line="240" w:lineRule="auto"/>
              <w:contextualSpacing/>
              <w:rPr>
                <w:rFonts w:cstheme="minorHAnsi"/>
                <w:sz w:val="20"/>
                <w:szCs w:val="20"/>
              </w:rPr>
            </w:pPr>
          </w:p>
          <w:p w14:paraId="44FDA212" w14:textId="77777777" w:rsidR="00E5474F" w:rsidRPr="00D04DA2" w:rsidRDefault="00E5474F" w:rsidP="00D04DA2">
            <w:pPr>
              <w:spacing w:after="0" w:line="240" w:lineRule="auto"/>
              <w:contextualSpacing/>
              <w:rPr>
                <w:rFonts w:eastAsia="Times New Roman" w:cstheme="minorHAnsi"/>
                <w:sz w:val="20"/>
                <w:szCs w:val="20"/>
              </w:rPr>
            </w:pPr>
          </w:p>
        </w:tc>
        <w:tc>
          <w:tcPr>
            <w:tcW w:w="1485" w:type="dxa"/>
            <w:tcBorders>
              <w:top w:val="single" w:sz="4" w:space="0" w:color="auto"/>
              <w:left w:val="single" w:sz="4" w:space="0" w:color="auto"/>
              <w:bottom w:val="single" w:sz="4" w:space="0" w:color="auto"/>
              <w:right w:val="single" w:sz="4" w:space="0" w:color="auto"/>
            </w:tcBorders>
          </w:tcPr>
          <w:p w14:paraId="570306F1" w14:textId="59095E7D" w:rsidR="00E5474F" w:rsidRPr="00D04DA2" w:rsidRDefault="00CE6448" w:rsidP="00D04DA2">
            <w:pPr>
              <w:spacing w:after="0" w:line="240" w:lineRule="auto"/>
              <w:contextualSpacing/>
              <w:rPr>
                <w:rFonts w:eastAsia="Times New Roman" w:cstheme="minorHAnsi"/>
                <w:sz w:val="20"/>
                <w:szCs w:val="20"/>
              </w:rPr>
            </w:pPr>
            <w:r w:rsidRPr="00D04DA2">
              <w:rPr>
                <w:rFonts w:eastAsia="Times New Roman"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13F5F09" w14:textId="4EE58A9A"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2DB596" w14:textId="0DCC5FD6" w:rsidR="00E5474F" w:rsidRPr="00D04DA2" w:rsidRDefault="00DF4E32" w:rsidP="00D04DA2">
            <w:pPr>
              <w:spacing w:after="0" w:line="240" w:lineRule="auto"/>
              <w:contextualSpacing/>
              <w:rPr>
                <w:rFonts w:eastAsia="Times New Roman" w:cstheme="minorHAnsi"/>
                <w:sz w:val="20"/>
                <w:szCs w:val="20"/>
              </w:rPr>
            </w:pPr>
            <w:r w:rsidRPr="00D04DA2">
              <w:rPr>
                <w:rFonts w:cstheme="minorHAnsi"/>
                <w:sz w:val="20"/>
                <w:szCs w:val="20"/>
              </w:rPr>
              <w:t>148 economies</w:t>
            </w:r>
          </w:p>
        </w:tc>
        <w:tc>
          <w:tcPr>
            <w:tcW w:w="1418" w:type="dxa"/>
            <w:tcBorders>
              <w:top w:val="single" w:sz="4" w:space="0" w:color="auto"/>
              <w:left w:val="nil"/>
              <w:bottom w:val="single" w:sz="4" w:space="0" w:color="auto"/>
              <w:right w:val="single" w:sz="4" w:space="0" w:color="auto"/>
            </w:tcBorders>
          </w:tcPr>
          <w:p w14:paraId="0FEEDFF9" w14:textId="021FA996" w:rsidR="00E5474F" w:rsidRPr="00D04DA2" w:rsidRDefault="00CF0A89" w:rsidP="00D04DA2">
            <w:pPr>
              <w:spacing w:after="0" w:line="240" w:lineRule="auto"/>
              <w:contextualSpacing/>
              <w:rPr>
                <w:rFonts w:eastAsia="Times New Roman" w:cstheme="minorHAnsi"/>
                <w:sz w:val="20"/>
                <w:szCs w:val="20"/>
              </w:rPr>
            </w:pPr>
            <w:r>
              <w:rPr>
                <w:rFonts w:eastAsia="Times New Roman" w:cstheme="minorHAnsi"/>
                <w:sz w:val="20"/>
                <w:szCs w:val="20"/>
              </w:rPr>
              <w:t>24</w:t>
            </w:r>
            <w:r w:rsidR="00D62F12">
              <w:rPr>
                <w:rFonts w:eastAsia="Times New Roman" w:cstheme="minorHAnsi"/>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7F9C02BF" w14:textId="4587EDCB"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The Enterprise Surveys are conducted in about 17 economies each year. The latest data can refer to 2021 (e.g., for Austria) or 2009 (e.g., Brazil).</w:t>
            </w:r>
          </w:p>
          <w:p w14:paraId="0ABA6495" w14:textId="77777777" w:rsidR="004B6F95" w:rsidRPr="00D04DA2" w:rsidRDefault="004B6F95" w:rsidP="00D04DA2">
            <w:pPr>
              <w:spacing w:after="0" w:line="240" w:lineRule="auto"/>
              <w:contextualSpacing/>
              <w:rPr>
                <w:rFonts w:eastAsia="Times New Roman" w:cstheme="minorHAnsi"/>
                <w:sz w:val="20"/>
                <w:szCs w:val="20"/>
              </w:rPr>
            </w:pPr>
          </w:p>
          <w:p w14:paraId="1F224FA0" w14:textId="523ADFB4" w:rsidR="00E5474F" w:rsidRPr="00D04DA2" w:rsidRDefault="005D679F" w:rsidP="00D04DA2">
            <w:pPr>
              <w:spacing w:after="0" w:line="240" w:lineRule="auto"/>
              <w:contextualSpacing/>
              <w:rPr>
                <w:rFonts w:eastAsia="Times New Roman" w:cstheme="minorHAnsi"/>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tcPr>
          <w:p w14:paraId="025578E2" w14:textId="77777777" w:rsidR="00E5474F" w:rsidRPr="00D04DA2" w:rsidRDefault="00E5474F" w:rsidP="00D04DA2">
            <w:pPr>
              <w:spacing w:after="0" w:line="240" w:lineRule="auto"/>
              <w:contextualSpacing/>
              <w:rPr>
                <w:rFonts w:cstheme="minorHAnsi"/>
                <w:sz w:val="20"/>
                <w:szCs w:val="20"/>
              </w:rPr>
            </w:pPr>
            <w:r w:rsidRPr="00D04DA2">
              <w:rPr>
                <w:rFonts w:cstheme="minorHAnsi"/>
                <w:color w:val="0563C1"/>
                <w:sz w:val="20"/>
                <w:szCs w:val="20"/>
                <w:u w:val="single"/>
              </w:rPr>
              <w:t>https://www.enterprisesurveys.org/en/data/exploretopics/infrastructure</w:t>
            </w:r>
          </w:p>
        </w:tc>
      </w:tr>
      <w:tr w:rsidR="004B6F95" w:rsidRPr="00D04DA2" w14:paraId="419DCFA4" w14:textId="77777777" w:rsidTr="006655B8">
        <w:trPr>
          <w:trHeight w:val="275"/>
        </w:trPr>
        <w:tc>
          <w:tcPr>
            <w:tcW w:w="510" w:type="dxa"/>
            <w:tcBorders>
              <w:top w:val="single" w:sz="4" w:space="0" w:color="auto"/>
              <w:left w:val="single" w:sz="4" w:space="0" w:color="auto"/>
              <w:bottom w:val="single" w:sz="4" w:space="0" w:color="auto"/>
              <w:right w:val="nil"/>
            </w:tcBorders>
          </w:tcPr>
          <w:p w14:paraId="59331C5D" w14:textId="6F2679CB" w:rsidR="00E5474F" w:rsidRPr="00D04DA2" w:rsidRDefault="00A14DD4" w:rsidP="00D04DA2">
            <w:pPr>
              <w:spacing w:after="0" w:line="240" w:lineRule="auto"/>
              <w:contextualSpacing/>
              <w:rPr>
                <w:rFonts w:cstheme="minorHAnsi"/>
                <w:color w:val="000000"/>
                <w:sz w:val="20"/>
                <w:szCs w:val="20"/>
              </w:rPr>
            </w:pPr>
            <w:r w:rsidRPr="00D04DA2">
              <w:rPr>
                <w:rFonts w:cstheme="minorHAnsi"/>
                <w:color w:val="000000"/>
                <w:sz w:val="20"/>
                <w:szCs w:val="20"/>
              </w:rPr>
              <w:t>1</w:t>
            </w:r>
            <w:r w:rsidR="00DA6EFC" w:rsidRPr="00D04DA2">
              <w:rPr>
                <w:rFonts w:cstheme="minorHAnsi"/>
                <w:color w:val="000000"/>
                <w:sz w:val="20"/>
                <w:szCs w:val="20"/>
              </w:rPr>
              <w:t>2</w:t>
            </w:r>
          </w:p>
        </w:tc>
        <w:tc>
          <w:tcPr>
            <w:tcW w:w="1341" w:type="dxa"/>
            <w:tcBorders>
              <w:top w:val="single" w:sz="4" w:space="0" w:color="auto"/>
              <w:left w:val="single" w:sz="4" w:space="0" w:color="auto"/>
              <w:bottom w:val="single" w:sz="4" w:space="0" w:color="auto"/>
              <w:right w:val="nil"/>
            </w:tcBorders>
          </w:tcPr>
          <w:p w14:paraId="18D4074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19292E47"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BE125B2" w14:textId="78F993C4"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Time to obtain an electrical connection (upon application) </w:t>
            </w:r>
          </w:p>
          <w:p w14:paraId="676FF793" w14:textId="77777777" w:rsidR="00E5474F" w:rsidRPr="00D04DA2" w:rsidRDefault="00E5474F" w:rsidP="00D04DA2">
            <w:pPr>
              <w:spacing w:after="0" w:line="240" w:lineRule="auto"/>
              <w:contextualSpacing/>
              <w:rPr>
                <w:rFonts w:cstheme="minorHAnsi"/>
                <w:sz w:val="20"/>
                <w:szCs w:val="20"/>
              </w:rPr>
            </w:pPr>
          </w:p>
          <w:p w14:paraId="4D79C168" w14:textId="77777777" w:rsidR="00E5474F" w:rsidRPr="00D04DA2" w:rsidRDefault="00E5474F" w:rsidP="00D04DA2">
            <w:pPr>
              <w:spacing w:after="0" w:line="240" w:lineRule="auto"/>
              <w:contextualSpacing/>
              <w:rPr>
                <w:rFonts w:cstheme="minorHAnsi"/>
                <w:sz w:val="20"/>
                <w:szCs w:val="20"/>
              </w:rPr>
            </w:pPr>
          </w:p>
          <w:p w14:paraId="52FD880C" w14:textId="77777777" w:rsidR="00E5474F" w:rsidRPr="00D04DA2" w:rsidRDefault="00E5474F" w:rsidP="00D04DA2">
            <w:pPr>
              <w:spacing w:after="0" w:line="240" w:lineRule="auto"/>
              <w:contextualSpacing/>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592952"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Number of days </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E931D61" w14:textId="71DFEC9D"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auto"/>
          </w:tcPr>
          <w:p w14:paraId="1CDB1657"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BF4C413" w14:textId="2A677FF3"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Enterprise Surveys cover a range of business environment topics including Infrastructure and Services, which measures power, water, transport, and communication technologies. They cover the number of days to obtain electrical connection, inter alia.</w:t>
            </w:r>
          </w:p>
          <w:p w14:paraId="1812D6C9" w14:textId="77777777" w:rsidR="00E5474F" w:rsidRPr="00D04DA2" w:rsidRDefault="00E5474F" w:rsidP="00D04DA2">
            <w:pPr>
              <w:spacing w:after="0" w:line="240" w:lineRule="auto"/>
              <w:contextualSpacing/>
              <w:rPr>
                <w:rFonts w:eastAsia="Times New Roman" w:cstheme="minorHAnsi"/>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CAACB42" w14:textId="577AD0E7" w:rsidR="00E5474F" w:rsidRPr="00D04DA2" w:rsidRDefault="00CE6448" w:rsidP="00D04DA2">
            <w:pPr>
              <w:spacing w:after="0" w:line="240" w:lineRule="auto"/>
              <w:contextualSpacing/>
              <w:rPr>
                <w:rFonts w:eastAsia="Times New Roman" w:cstheme="minorHAnsi"/>
                <w:sz w:val="20"/>
                <w:szCs w:val="20"/>
              </w:rPr>
            </w:pPr>
            <w:r w:rsidRPr="00D04DA2">
              <w:rPr>
                <w:rFonts w:eastAsia="Times New Roman"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5C6943E" w14:textId="570F9A99"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31E357" w14:textId="718880C6" w:rsidR="00E5474F" w:rsidRPr="00D04DA2" w:rsidRDefault="00E95B0B" w:rsidP="00D04DA2">
            <w:pPr>
              <w:spacing w:after="0" w:line="240" w:lineRule="auto"/>
              <w:contextualSpacing/>
              <w:rPr>
                <w:rFonts w:eastAsia="Times New Roman" w:cstheme="minorHAnsi"/>
                <w:sz w:val="20"/>
                <w:szCs w:val="20"/>
              </w:rPr>
            </w:pPr>
            <w:r w:rsidRPr="00D04DA2">
              <w:rPr>
                <w:rFonts w:cstheme="minorHAnsi"/>
                <w:sz w:val="20"/>
                <w:szCs w:val="20"/>
              </w:rPr>
              <w:t>147 economies</w:t>
            </w:r>
          </w:p>
        </w:tc>
        <w:tc>
          <w:tcPr>
            <w:tcW w:w="1418" w:type="dxa"/>
            <w:tcBorders>
              <w:top w:val="single" w:sz="4" w:space="0" w:color="auto"/>
              <w:left w:val="nil"/>
              <w:bottom w:val="single" w:sz="4" w:space="0" w:color="auto"/>
              <w:right w:val="single" w:sz="4" w:space="0" w:color="auto"/>
            </w:tcBorders>
          </w:tcPr>
          <w:p w14:paraId="238A923C" w14:textId="58835D1A" w:rsidR="00E5474F" w:rsidRPr="00D04DA2" w:rsidRDefault="00CF0A89" w:rsidP="00D04DA2">
            <w:pPr>
              <w:spacing w:after="0" w:line="240" w:lineRule="auto"/>
              <w:contextualSpacing/>
              <w:rPr>
                <w:rFonts w:eastAsia="Times New Roman" w:cstheme="minorHAnsi"/>
                <w:sz w:val="20"/>
                <w:szCs w:val="20"/>
              </w:rPr>
            </w:pPr>
            <w:r>
              <w:rPr>
                <w:rFonts w:eastAsia="Times New Roman" w:cstheme="minorHAnsi"/>
                <w:sz w:val="20"/>
                <w:szCs w:val="20"/>
              </w:rPr>
              <w:t>23</w:t>
            </w:r>
            <w:r w:rsidR="00D62F12">
              <w:rPr>
                <w:rFonts w:eastAsia="Times New Roman" w:cstheme="minorHAnsi"/>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6AEB721F" w14:textId="16DA9D30"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The Enterprise Surveys are conducted in about 17 economies each year. The latest data can refer to 2021 (e.g., for Austria) or 2009 (e.g., Brazil).</w:t>
            </w:r>
          </w:p>
          <w:p w14:paraId="5BCCF4F5" w14:textId="77777777" w:rsidR="004B6F95" w:rsidRPr="00D04DA2" w:rsidRDefault="004B6F95" w:rsidP="00D04DA2">
            <w:pPr>
              <w:spacing w:after="0" w:line="240" w:lineRule="auto"/>
              <w:contextualSpacing/>
              <w:rPr>
                <w:rFonts w:eastAsia="Times New Roman" w:cstheme="minorHAnsi"/>
                <w:sz w:val="20"/>
                <w:szCs w:val="20"/>
              </w:rPr>
            </w:pPr>
          </w:p>
          <w:p w14:paraId="6585F038" w14:textId="09AD01B6" w:rsidR="00E5474F" w:rsidRPr="00D04DA2" w:rsidRDefault="005D679F" w:rsidP="00D04DA2">
            <w:pPr>
              <w:spacing w:after="0" w:line="240" w:lineRule="auto"/>
              <w:contextualSpacing/>
              <w:rPr>
                <w:rFonts w:eastAsia="Times New Roman" w:cstheme="minorHAnsi"/>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tcPr>
          <w:p w14:paraId="5E5D6FFB" w14:textId="77777777" w:rsidR="00E5474F" w:rsidRPr="00D04DA2" w:rsidRDefault="00E5474F" w:rsidP="00D04DA2">
            <w:pPr>
              <w:spacing w:after="0" w:line="240" w:lineRule="auto"/>
              <w:contextualSpacing/>
              <w:rPr>
                <w:rFonts w:cstheme="minorHAnsi"/>
                <w:sz w:val="20"/>
                <w:szCs w:val="20"/>
              </w:rPr>
            </w:pPr>
            <w:r w:rsidRPr="00D04DA2">
              <w:rPr>
                <w:rFonts w:cstheme="minorHAnsi"/>
                <w:color w:val="0563C1"/>
                <w:sz w:val="20"/>
                <w:szCs w:val="20"/>
                <w:u w:val="single"/>
              </w:rPr>
              <w:t>https://www.enterprisesurveys.org/en/data/exploretopics/infrastructure</w:t>
            </w:r>
          </w:p>
        </w:tc>
      </w:tr>
      <w:tr w:rsidR="00395D1B" w:rsidRPr="00D04DA2" w14:paraId="1D0BD0F1" w14:textId="77777777" w:rsidTr="3FF83290">
        <w:trPr>
          <w:trHeight w:val="275"/>
        </w:trPr>
        <w:tc>
          <w:tcPr>
            <w:tcW w:w="510" w:type="dxa"/>
            <w:tcBorders>
              <w:top w:val="single" w:sz="4" w:space="0" w:color="auto"/>
              <w:left w:val="single" w:sz="4" w:space="0" w:color="auto"/>
              <w:bottom w:val="single" w:sz="4" w:space="0" w:color="auto"/>
              <w:right w:val="nil"/>
            </w:tcBorders>
          </w:tcPr>
          <w:p w14:paraId="1BCF32C8"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lastRenderedPageBreak/>
              <w:t>13</w:t>
            </w:r>
          </w:p>
        </w:tc>
        <w:tc>
          <w:tcPr>
            <w:tcW w:w="1341" w:type="dxa"/>
            <w:tcBorders>
              <w:top w:val="single" w:sz="4" w:space="0" w:color="auto"/>
              <w:left w:val="single" w:sz="4" w:space="0" w:color="auto"/>
              <w:bottom w:val="single" w:sz="4" w:space="0" w:color="auto"/>
              <w:right w:val="nil"/>
            </w:tcBorders>
          </w:tcPr>
          <w:p w14:paraId="76DBD4A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6A792A9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456481E8" w14:textId="26888418"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Quality of electricity supply index </w:t>
            </w:r>
          </w:p>
        </w:tc>
        <w:tc>
          <w:tcPr>
            <w:tcW w:w="1080" w:type="dxa"/>
            <w:tcBorders>
              <w:top w:val="single" w:sz="4" w:space="0" w:color="auto"/>
              <w:left w:val="single" w:sz="4" w:space="0" w:color="auto"/>
              <w:bottom w:val="single" w:sz="4" w:space="0" w:color="auto"/>
              <w:right w:val="single" w:sz="4" w:space="0" w:color="auto"/>
            </w:tcBorders>
          </w:tcPr>
          <w:p w14:paraId="3BD875F3"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sz w:val="20"/>
                <w:szCs w:val="20"/>
              </w:rPr>
              <w:t>Percentage of output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A31CEDB" w14:textId="47467F01"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World Economic Forum - </w:t>
            </w:r>
            <w:r w:rsidRPr="00D04DA2">
              <w:rPr>
                <w:rFonts w:eastAsia="Times New Roman" w:cstheme="minorHAnsi"/>
                <w:sz w:val="20"/>
                <w:szCs w:val="20"/>
              </w:rPr>
              <w:t>Global Competitiveness Report</w:t>
            </w:r>
          </w:p>
        </w:tc>
        <w:tc>
          <w:tcPr>
            <w:tcW w:w="1341" w:type="dxa"/>
            <w:tcBorders>
              <w:top w:val="single" w:sz="4" w:space="0" w:color="auto"/>
              <w:left w:val="nil"/>
              <w:bottom w:val="single" w:sz="4" w:space="0" w:color="auto"/>
              <w:right w:val="single" w:sz="4" w:space="0" w:color="auto"/>
            </w:tcBorders>
            <w:shd w:val="clear" w:color="auto" w:fill="auto"/>
          </w:tcPr>
          <w:p w14:paraId="63D990C2"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C933D37" w14:textId="4134A3F8"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Electricity supply quality index measures </w:t>
            </w:r>
            <w:r w:rsidR="00095622" w:rsidRPr="00D04DA2">
              <w:rPr>
                <w:rFonts w:cstheme="minorHAnsi"/>
                <w:sz w:val="20"/>
                <w:szCs w:val="20"/>
              </w:rPr>
              <w:t xml:space="preserve">the </w:t>
            </w:r>
            <w:r w:rsidRPr="00D04DA2">
              <w:rPr>
                <w:rFonts w:cstheme="minorHAnsi"/>
                <w:sz w:val="20"/>
                <w:szCs w:val="20"/>
              </w:rPr>
              <w:t>electric power transmission and distribution losses as a percentage of domestic supply.</w:t>
            </w:r>
          </w:p>
          <w:p w14:paraId="27A03F8C" w14:textId="77777777" w:rsidR="00E5474F" w:rsidRPr="00D04DA2" w:rsidRDefault="00E5474F" w:rsidP="00D04DA2">
            <w:pPr>
              <w:spacing w:after="0" w:line="240" w:lineRule="auto"/>
              <w:contextualSpacing/>
              <w:rPr>
                <w:rFonts w:cstheme="minorHAnsi"/>
                <w:sz w:val="20"/>
                <w:szCs w:val="20"/>
              </w:rPr>
            </w:pPr>
          </w:p>
          <w:p w14:paraId="49B2AC29" w14:textId="77777777" w:rsidR="00E5474F" w:rsidRPr="00D04DA2" w:rsidRDefault="00E5474F" w:rsidP="00D04DA2">
            <w:pPr>
              <w:spacing w:after="0" w:line="240" w:lineRule="auto"/>
              <w:contextualSpacing/>
              <w:rPr>
                <w:rFonts w:cstheme="minorHAnsi"/>
                <w:sz w:val="20"/>
                <w:szCs w:val="20"/>
                <w:shd w:val="clear" w:color="auto" w:fill="FFFFFF"/>
              </w:rPr>
            </w:pPr>
          </w:p>
        </w:tc>
        <w:tc>
          <w:tcPr>
            <w:tcW w:w="1485" w:type="dxa"/>
            <w:tcBorders>
              <w:top w:val="single" w:sz="4" w:space="0" w:color="auto"/>
              <w:left w:val="nil"/>
              <w:bottom w:val="single" w:sz="4" w:space="0" w:color="auto"/>
              <w:right w:val="single" w:sz="4" w:space="0" w:color="auto"/>
            </w:tcBorders>
          </w:tcPr>
          <w:p w14:paraId="26127582" w14:textId="42D27F46" w:rsidR="00E5474F" w:rsidRPr="00D04DA2" w:rsidRDefault="002E1C06" w:rsidP="00D04DA2">
            <w:pPr>
              <w:spacing w:after="0" w:line="240" w:lineRule="auto"/>
              <w:contextualSpacing/>
              <w:rPr>
                <w:rFonts w:eastAsia="Times New Roman" w:cstheme="minorHAnsi"/>
                <w:sz w:val="20"/>
                <w:szCs w:val="20"/>
              </w:rPr>
            </w:pPr>
            <w:r w:rsidRPr="00D04DA2">
              <w:rPr>
                <w:rFonts w:eastAsia="Times New Roman"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tcPr>
          <w:p w14:paraId="6683739D" w14:textId="4C02E4DB" w:rsidR="00E5474F" w:rsidRPr="00D04DA2" w:rsidRDefault="00E5474F" w:rsidP="00D04DA2">
            <w:pPr>
              <w:spacing w:after="0" w:line="240" w:lineRule="auto"/>
              <w:contextualSpacing/>
              <w:rPr>
                <w:rFonts w:cstheme="minorHAnsi"/>
                <w:sz w:val="20"/>
                <w:szCs w:val="20"/>
                <w:shd w:val="clear" w:color="auto" w:fill="FFFFFF"/>
              </w:rPr>
            </w:pPr>
            <w:r w:rsidRPr="00D04DA2">
              <w:rPr>
                <w:rFonts w:eastAsia="Times New Roman"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F73C41"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141 economies </w:t>
            </w:r>
          </w:p>
        </w:tc>
        <w:tc>
          <w:tcPr>
            <w:tcW w:w="1418" w:type="dxa"/>
            <w:tcBorders>
              <w:top w:val="single" w:sz="4" w:space="0" w:color="auto"/>
              <w:left w:val="single" w:sz="4" w:space="0" w:color="auto"/>
              <w:bottom w:val="single" w:sz="4" w:space="0" w:color="auto"/>
              <w:right w:val="single" w:sz="4" w:space="0" w:color="auto"/>
            </w:tcBorders>
          </w:tcPr>
          <w:p w14:paraId="308E1E9D" w14:textId="3512D7EE" w:rsidR="00E5474F" w:rsidRPr="00D04DA2" w:rsidRDefault="00493705" w:rsidP="00D04DA2">
            <w:pPr>
              <w:spacing w:after="0" w:line="240" w:lineRule="auto"/>
              <w:contextualSpacing/>
              <w:rPr>
                <w:rFonts w:cstheme="minorHAnsi"/>
                <w:sz w:val="20"/>
                <w:szCs w:val="20"/>
              </w:rPr>
            </w:pPr>
            <w:r>
              <w:rPr>
                <w:rFonts w:cstheme="minorHAnsi"/>
                <w:sz w:val="20"/>
                <w:szCs w:val="20"/>
              </w:rPr>
              <w:t xml:space="preserve">Cannot easily identify in the </w:t>
            </w:r>
            <w:r w:rsidR="007245B1">
              <w:rPr>
                <w:rFonts w:cstheme="minorHAnsi"/>
                <w:sz w:val="20"/>
                <w:szCs w:val="20"/>
              </w:rPr>
              <w:t xml:space="preserve">source </w:t>
            </w:r>
            <w:r>
              <w:rPr>
                <w:rFonts w:cstheme="minorHAnsi"/>
                <w:sz w:val="20"/>
                <w:szCs w:val="20"/>
              </w:rPr>
              <w:t>PDF</w:t>
            </w:r>
            <w:r w:rsidR="007245B1">
              <w:rPr>
                <w:rFonts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1974F0" w14:textId="3E4F6378" w:rsidR="00AF3692" w:rsidRPr="00D04DA2" w:rsidRDefault="00AF3692" w:rsidP="00D04DA2">
            <w:pPr>
              <w:spacing w:after="0" w:line="240" w:lineRule="auto"/>
              <w:contextualSpacing/>
              <w:rPr>
                <w:rFonts w:eastAsia="Times New Roman" w:cstheme="minorHAnsi"/>
                <w:sz w:val="20"/>
                <w:szCs w:val="20"/>
              </w:rPr>
            </w:pPr>
            <w:r w:rsidRPr="00D04DA2">
              <w:rPr>
                <w:rFonts w:eastAsia="Times New Roman" w:cstheme="minorHAnsi"/>
                <w:sz w:val="20"/>
                <w:szCs w:val="20"/>
              </w:rPr>
              <w:t xml:space="preserve">The indicator is published for </w:t>
            </w:r>
            <w:r w:rsidR="000F5AD3" w:rsidRPr="00D04DA2">
              <w:rPr>
                <w:rFonts w:eastAsia="Times New Roman" w:cstheme="minorHAnsi"/>
                <w:sz w:val="20"/>
                <w:szCs w:val="20"/>
              </w:rPr>
              <w:t>2016</w:t>
            </w:r>
            <w:r w:rsidR="00306844" w:rsidRPr="00D04DA2">
              <w:rPr>
                <w:rFonts w:eastAsia="Times New Roman" w:cstheme="minorHAnsi"/>
                <w:sz w:val="20"/>
                <w:szCs w:val="20"/>
              </w:rPr>
              <w:t xml:space="preserve"> </w:t>
            </w:r>
            <w:r w:rsidR="008A6058" w:rsidRPr="00D04DA2">
              <w:rPr>
                <w:rFonts w:eastAsia="Times New Roman" w:cstheme="minorHAnsi"/>
                <w:sz w:val="20"/>
                <w:szCs w:val="20"/>
              </w:rPr>
              <w:t xml:space="preserve">only </w:t>
            </w:r>
            <w:r w:rsidR="00306844" w:rsidRPr="00D04DA2">
              <w:rPr>
                <w:rFonts w:eastAsia="Times New Roman" w:cstheme="minorHAnsi"/>
                <w:sz w:val="20"/>
                <w:szCs w:val="20"/>
              </w:rPr>
              <w:t xml:space="preserve">in </w:t>
            </w:r>
            <w:r w:rsidR="008A6058" w:rsidRPr="00D04DA2">
              <w:rPr>
                <w:rFonts w:eastAsia="Times New Roman" w:cstheme="minorHAnsi"/>
                <w:sz w:val="20"/>
                <w:szCs w:val="20"/>
              </w:rPr>
              <w:t xml:space="preserve">Global Competitiveness Report </w:t>
            </w:r>
            <w:r w:rsidR="00B838BB" w:rsidRPr="00D04DA2">
              <w:rPr>
                <w:rFonts w:eastAsia="Times New Roman" w:cstheme="minorHAnsi"/>
                <w:sz w:val="20"/>
                <w:szCs w:val="20"/>
              </w:rPr>
              <w:t>2019</w:t>
            </w:r>
            <w:r w:rsidR="008A6058" w:rsidRPr="00D04DA2">
              <w:rPr>
                <w:rFonts w:eastAsia="Times New Roman" w:cstheme="minorHAnsi"/>
                <w:sz w:val="20"/>
                <w:szCs w:val="20"/>
              </w:rPr>
              <w:t>.</w:t>
            </w:r>
          </w:p>
          <w:p w14:paraId="4E43BE02" w14:textId="77777777" w:rsidR="00E5474F" w:rsidRPr="00D04DA2" w:rsidRDefault="00E5474F" w:rsidP="00D04DA2">
            <w:pPr>
              <w:spacing w:after="0" w:line="240" w:lineRule="auto"/>
              <w:contextualSpacing/>
              <w:rPr>
                <w:rFonts w:eastAsia="Times New Roman" w:cstheme="minorHAnsi"/>
                <w:sz w:val="20"/>
                <w:szCs w:val="20"/>
              </w:rPr>
            </w:pPr>
          </w:p>
        </w:tc>
        <w:tc>
          <w:tcPr>
            <w:tcW w:w="1664" w:type="dxa"/>
            <w:tcBorders>
              <w:top w:val="single" w:sz="4" w:space="0" w:color="auto"/>
              <w:left w:val="nil"/>
              <w:bottom w:val="single" w:sz="4" w:space="0" w:color="auto"/>
              <w:right w:val="single" w:sz="4" w:space="0" w:color="auto"/>
            </w:tcBorders>
          </w:tcPr>
          <w:p w14:paraId="558DBBE1" w14:textId="77777777" w:rsidR="00E5474F" w:rsidRPr="00D04DA2" w:rsidRDefault="00FA1285" w:rsidP="00D04DA2">
            <w:pPr>
              <w:spacing w:after="0" w:line="240" w:lineRule="auto"/>
              <w:contextualSpacing/>
              <w:rPr>
                <w:rFonts w:eastAsia="Times New Roman" w:cstheme="minorHAnsi"/>
                <w:sz w:val="20"/>
                <w:szCs w:val="20"/>
              </w:rPr>
            </w:pPr>
            <w:hyperlink r:id="rId20" w:history="1">
              <w:r w:rsidR="00E5474F" w:rsidRPr="00D04DA2">
                <w:rPr>
                  <w:rStyle w:val="Hyperlink"/>
                  <w:rFonts w:eastAsia="Times New Roman" w:cstheme="minorHAnsi"/>
                  <w:sz w:val="20"/>
                  <w:szCs w:val="20"/>
                </w:rPr>
                <w:t>http://www3.weforum.org/docs/WEF_TheGlobalCompetitivenessReport2019.pdf</w:t>
              </w:r>
            </w:hyperlink>
            <w:r w:rsidR="00E5474F" w:rsidRPr="00D04DA2">
              <w:rPr>
                <w:rFonts w:eastAsia="Times New Roman" w:cstheme="minorHAnsi"/>
                <w:sz w:val="20"/>
                <w:szCs w:val="20"/>
              </w:rPr>
              <w:t xml:space="preserve"> </w:t>
            </w:r>
          </w:p>
          <w:p w14:paraId="3B4BE405" w14:textId="77777777" w:rsidR="00D95940" w:rsidRPr="00D04DA2" w:rsidRDefault="00D95940" w:rsidP="00D04DA2">
            <w:pPr>
              <w:spacing w:after="0" w:line="240" w:lineRule="auto"/>
              <w:contextualSpacing/>
              <w:rPr>
                <w:rFonts w:eastAsia="Times New Roman" w:cstheme="minorHAnsi"/>
                <w:sz w:val="20"/>
                <w:szCs w:val="20"/>
              </w:rPr>
            </w:pPr>
          </w:p>
          <w:p w14:paraId="17DD3A21" w14:textId="7A671B63" w:rsidR="00E5474F" w:rsidRPr="00D04DA2" w:rsidRDefault="00D95940" w:rsidP="00D04DA2">
            <w:pPr>
              <w:spacing w:after="0" w:line="240" w:lineRule="auto"/>
              <w:contextualSpacing/>
              <w:rPr>
                <w:rFonts w:cstheme="minorHAnsi"/>
                <w:b/>
                <w:bCs/>
                <w:sz w:val="20"/>
                <w:szCs w:val="20"/>
              </w:rPr>
            </w:pPr>
            <w:r w:rsidRPr="00D04DA2">
              <w:rPr>
                <w:rFonts w:eastAsia="Times New Roman" w:cstheme="minorHAnsi"/>
                <w:b/>
                <w:bCs/>
                <w:color w:val="FF0000"/>
                <w:sz w:val="20"/>
                <w:szCs w:val="20"/>
              </w:rPr>
              <w:t xml:space="preserve">The data </w:t>
            </w:r>
            <w:r w:rsidR="00395D1B" w:rsidRPr="00D04DA2">
              <w:rPr>
                <w:rFonts w:eastAsia="Times New Roman" w:cstheme="minorHAnsi"/>
                <w:b/>
                <w:bCs/>
                <w:color w:val="FF0000"/>
                <w:sz w:val="20"/>
                <w:szCs w:val="20"/>
              </w:rPr>
              <w:t>is</w:t>
            </w:r>
            <w:r w:rsidRPr="00D04DA2">
              <w:rPr>
                <w:rFonts w:eastAsia="Times New Roman" w:cstheme="minorHAnsi"/>
                <w:b/>
                <w:bCs/>
                <w:color w:val="FF0000"/>
                <w:sz w:val="20"/>
                <w:szCs w:val="20"/>
              </w:rPr>
              <w:t xml:space="preserve"> available in PDF only. It is not currently available in an editable format.</w:t>
            </w:r>
          </w:p>
        </w:tc>
      </w:tr>
      <w:tr w:rsidR="00D04DA2" w:rsidRPr="00D04DA2" w14:paraId="2431307E" w14:textId="77777777" w:rsidTr="3FF83290">
        <w:trPr>
          <w:trHeight w:val="275"/>
        </w:trPr>
        <w:tc>
          <w:tcPr>
            <w:tcW w:w="510" w:type="dxa"/>
            <w:tcBorders>
              <w:top w:val="single" w:sz="4" w:space="0" w:color="auto"/>
              <w:left w:val="single" w:sz="4" w:space="0" w:color="auto"/>
              <w:bottom w:val="single" w:sz="4" w:space="0" w:color="auto"/>
              <w:right w:val="nil"/>
            </w:tcBorders>
          </w:tcPr>
          <w:p w14:paraId="695B75E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14</w:t>
            </w:r>
          </w:p>
        </w:tc>
        <w:tc>
          <w:tcPr>
            <w:tcW w:w="1341" w:type="dxa"/>
            <w:tcBorders>
              <w:top w:val="single" w:sz="4" w:space="0" w:color="auto"/>
              <w:left w:val="single" w:sz="4" w:space="0" w:color="auto"/>
              <w:bottom w:val="single" w:sz="4" w:space="0" w:color="auto"/>
              <w:right w:val="nil"/>
            </w:tcBorders>
          </w:tcPr>
          <w:p w14:paraId="74C8172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3B2C4DD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2DB4014F" w14:textId="5B6F3E29" w:rsidR="00E5474F" w:rsidRPr="00D04DA2" w:rsidRDefault="00E5474F" w:rsidP="00D04DA2">
            <w:pPr>
              <w:spacing w:after="0" w:line="240" w:lineRule="auto"/>
              <w:contextualSpacing/>
              <w:rPr>
                <w:rFonts w:cstheme="minorHAnsi"/>
                <w:sz w:val="20"/>
                <w:szCs w:val="20"/>
              </w:rPr>
            </w:pPr>
            <w:r w:rsidRPr="00D04DA2">
              <w:rPr>
                <w:rFonts w:cstheme="minorHAnsi"/>
                <w:color w:val="000000"/>
                <w:sz w:val="20"/>
                <w:szCs w:val="20"/>
              </w:rPr>
              <w:t>Average residential connection charge</w:t>
            </w:r>
          </w:p>
          <w:p w14:paraId="6DA30E5C" w14:textId="77777777" w:rsidR="00E5474F" w:rsidRPr="00D04DA2" w:rsidRDefault="00E5474F" w:rsidP="00D04DA2">
            <w:pPr>
              <w:spacing w:after="0" w:line="240" w:lineRule="auto"/>
              <w:contextualSpacing/>
              <w:rPr>
                <w:rFonts w:cstheme="minorHAnsi"/>
                <w:sz w:val="20"/>
                <w:szCs w:val="20"/>
              </w:rPr>
            </w:pPr>
          </w:p>
          <w:p w14:paraId="236AD762" w14:textId="77777777" w:rsidR="00E5474F" w:rsidRPr="00D04DA2" w:rsidRDefault="00E5474F" w:rsidP="00D04DA2">
            <w:pPr>
              <w:spacing w:after="0" w:line="240" w:lineRule="auto"/>
              <w:contextualSpacing/>
              <w:rPr>
                <w:rFonts w:cstheme="minorHAnsi"/>
                <w:sz w:val="20"/>
                <w:szCs w:val="20"/>
              </w:rPr>
            </w:pPr>
          </w:p>
          <w:p w14:paraId="54D59D19" w14:textId="77777777" w:rsidR="00E5474F" w:rsidRPr="00D04DA2" w:rsidRDefault="00E5474F" w:rsidP="00D04DA2">
            <w:pPr>
              <w:spacing w:after="0" w:line="240" w:lineRule="auto"/>
              <w:contextualSpacing/>
              <w:rPr>
                <w:rFonts w:cstheme="minorHAns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1F8A166" w14:textId="0DDDA03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LCU</w:t>
            </w:r>
            <w:r w:rsidR="00872E0B" w:rsidRPr="00D04DA2">
              <w:rPr>
                <w:rFonts w:cstheme="minorHAnsi"/>
                <w:color w:val="000000"/>
                <w:sz w:val="20"/>
                <w:szCs w:val="20"/>
              </w:rPr>
              <w:t xml:space="preserve"> per </w:t>
            </w:r>
            <w:r w:rsidRPr="00D04DA2">
              <w:rPr>
                <w:rFonts w:cstheme="minorHAnsi"/>
                <w:color w:val="000000"/>
                <w:sz w:val="20"/>
                <w:szCs w:val="20"/>
              </w:rPr>
              <w:t>connection</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A548D4F" w14:textId="73AF6620" w:rsidR="00E5474F" w:rsidRPr="00D04DA2" w:rsidRDefault="00E5474F" w:rsidP="00D04DA2">
            <w:pPr>
              <w:spacing w:after="0" w:line="240" w:lineRule="auto"/>
              <w:contextualSpacing/>
              <w:rPr>
                <w:rFonts w:cstheme="minorHAnsi"/>
                <w:color w:val="000000"/>
                <w:sz w:val="20"/>
                <w:szCs w:val="20"/>
              </w:rPr>
            </w:pPr>
            <w:r w:rsidRPr="00D04DA2">
              <w:rPr>
                <w:rFonts w:cstheme="minorHAnsi"/>
                <w:sz w:val="20"/>
                <w:szCs w:val="20"/>
              </w:rPr>
              <w:t xml:space="preserve">World Bank Group - Africa </w:t>
            </w:r>
            <w:r w:rsidR="00893E69" w:rsidRPr="00D04DA2">
              <w:rPr>
                <w:rFonts w:cstheme="minorHAnsi"/>
                <w:sz w:val="20"/>
                <w:szCs w:val="20"/>
              </w:rPr>
              <w:t>I</w:t>
            </w:r>
            <w:r w:rsidRPr="00D04DA2">
              <w:rPr>
                <w:rFonts w:cstheme="minorHAnsi"/>
                <w:sz w:val="20"/>
                <w:szCs w:val="20"/>
              </w:rPr>
              <w:t xml:space="preserve">nfrastructure: </w:t>
            </w:r>
            <w:r w:rsidR="00893E69" w:rsidRPr="00D04DA2">
              <w:rPr>
                <w:rFonts w:cstheme="minorHAnsi"/>
                <w:sz w:val="20"/>
                <w:szCs w:val="20"/>
              </w:rPr>
              <w:t>E</w:t>
            </w:r>
            <w:r w:rsidRPr="00D04DA2">
              <w:rPr>
                <w:rFonts w:cstheme="minorHAnsi"/>
                <w:sz w:val="20"/>
                <w:szCs w:val="20"/>
              </w:rPr>
              <w:t>lectricity (Africa Infrastructure Country Diagnostics</w:t>
            </w:r>
            <w:r w:rsidR="002B59E7" w:rsidRPr="00D04DA2">
              <w:rPr>
                <w:rFonts w:cstheme="minorHAnsi"/>
                <w:sz w:val="20"/>
                <w:szCs w:val="20"/>
              </w:rPr>
              <w:t>)</w:t>
            </w:r>
          </w:p>
        </w:tc>
        <w:tc>
          <w:tcPr>
            <w:tcW w:w="1341" w:type="dxa"/>
            <w:tcBorders>
              <w:top w:val="single" w:sz="4" w:space="0" w:color="auto"/>
              <w:left w:val="nil"/>
              <w:bottom w:val="single" w:sz="4" w:space="0" w:color="auto"/>
              <w:right w:val="single" w:sz="4" w:space="0" w:color="auto"/>
            </w:tcBorders>
            <w:shd w:val="clear" w:color="auto" w:fill="auto"/>
          </w:tcPr>
          <w:p w14:paraId="78BE05EF" w14:textId="70E3BDFC"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CF693CB" w14:textId="2AEDC96B" w:rsidR="00E5474F" w:rsidRPr="00D04DA2" w:rsidRDefault="00E5474F" w:rsidP="00D04DA2">
            <w:pPr>
              <w:spacing w:after="0" w:line="240" w:lineRule="auto"/>
              <w:contextualSpacing/>
              <w:rPr>
                <w:rFonts w:cstheme="minorHAnsi"/>
                <w:sz w:val="20"/>
                <w:szCs w:val="20"/>
                <w:shd w:val="clear" w:color="auto" w:fill="FFFFFF"/>
              </w:rPr>
            </w:pPr>
            <w:r w:rsidRPr="00D04DA2">
              <w:rPr>
                <w:rFonts w:cstheme="minorHAnsi"/>
                <w:sz w:val="20"/>
                <w:szCs w:val="20"/>
                <w:shd w:val="clear" w:color="auto" w:fill="FFFFFF"/>
              </w:rPr>
              <w:t xml:space="preserve">Africa Infrastructure Country Diagnostic (AICD) has data collection and analysis on the status of the main network infrastructures. Power sector is one of the nine sectors covered by AICD. </w:t>
            </w:r>
            <w:r w:rsidR="008F23A5" w:rsidRPr="00D04DA2">
              <w:rPr>
                <w:rFonts w:cstheme="minorHAnsi"/>
                <w:sz w:val="20"/>
                <w:szCs w:val="20"/>
                <w:shd w:val="clear" w:color="auto" w:fill="FFFFFF"/>
              </w:rPr>
              <w:t xml:space="preserve">One of the indicators </w:t>
            </w:r>
            <w:r w:rsidR="00A761C9" w:rsidRPr="00D04DA2">
              <w:rPr>
                <w:rFonts w:cstheme="minorHAnsi"/>
                <w:sz w:val="20"/>
                <w:szCs w:val="20"/>
                <w:shd w:val="clear" w:color="auto" w:fill="FFFFFF"/>
              </w:rPr>
              <w:t>evaluates average residential connection charge in local currency per connection.</w:t>
            </w:r>
          </w:p>
          <w:p w14:paraId="0A9090DE" w14:textId="77777777" w:rsidR="00E5474F" w:rsidRPr="00D04DA2" w:rsidRDefault="00E5474F" w:rsidP="00D04DA2">
            <w:pPr>
              <w:spacing w:after="0" w:line="240" w:lineRule="auto"/>
              <w:contextualSpacing/>
              <w:rPr>
                <w:rFonts w:cstheme="minorHAnsi"/>
                <w:color w:val="000000"/>
                <w:sz w:val="20"/>
                <w:szCs w:val="20"/>
              </w:rPr>
            </w:pPr>
          </w:p>
        </w:tc>
        <w:tc>
          <w:tcPr>
            <w:tcW w:w="1485" w:type="dxa"/>
            <w:tcBorders>
              <w:top w:val="single" w:sz="4" w:space="0" w:color="auto"/>
              <w:left w:val="nil"/>
              <w:bottom w:val="single" w:sz="4" w:space="0" w:color="auto"/>
              <w:right w:val="single" w:sz="4" w:space="0" w:color="auto"/>
            </w:tcBorders>
          </w:tcPr>
          <w:p w14:paraId="6B814E43" w14:textId="106854C1" w:rsidR="00E5474F" w:rsidRPr="00D04DA2" w:rsidRDefault="00311067" w:rsidP="00D04DA2">
            <w:pPr>
              <w:spacing w:after="0" w:line="240" w:lineRule="auto"/>
              <w:contextualSpacing/>
              <w:rPr>
                <w:rFonts w:cstheme="minorHAnsi"/>
                <w:sz w:val="20"/>
                <w:szCs w:val="20"/>
                <w:shd w:val="clear" w:color="auto" w:fill="FFFFFF"/>
              </w:rPr>
            </w:pPr>
            <w:r w:rsidRPr="00D04DA2">
              <w:rPr>
                <w:rFonts w:cstheme="minorHAnsi"/>
                <w:sz w:val="20"/>
                <w:szCs w:val="20"/>
                <w:shd w:val="clear" w:color="auto" w:fill="FFFFFF"/>
              </w:rPr>
              <w:t>Policy metrics/</w:t>
            </w:r>
            <w:r w:rsidR="001A1EA1" w:rsidRPr="00D04DA2">
              <w:rPr>
                <w:rFonts w:cstheme="minorHAnsi"/>
                <w:sz w:val="20"/>
                <w:szCs w:val="20"/>
                <w:shd w:val="clear" w:color="auto" w:fill="FFFFFF"/>
              </w:rPr>
              <w:t>O</w:t>
            </w:r>
            <w:r w:rsidRPr="00D04DA2">
              <w:rPr>
                <w:rFonts w:cstheme="minorHAnsi"/>
                <w:sz w:val="20"/>
                <w:szCs w:val="20"/>
                <w:shd w:val="clear" w:color="auto" w:fill="FFFFFF"/>
              </w:rPr>
              <w:t>utcome</w:t>
            </w:r>
          </w:p>
        </w:tc>
        <w:tc>
          <w:tcPr>
            <w:tcW w:w="1485" w:type="dxa"/>
            <w:tcBorders>
              <w:top w:val="single" w:sz="4" w:space="0" w:color="auto"/>
              <w:left w:val="single" w:sz="4" w:space="0" w:color="auto"/>
              <w:bottom w:val="single" w:sz="4" w:space="0" w:color="auto"/>
              <w:right w:val="single" w:sz="4" w:space="0" w:color="auto"/>
            </w:tcBorders>
          </w:tcPr>
          <w:p w14:paraId="67123803" w14:textId="0A1A9E01" w:rsidR="00E5474F" w:rsidRPr="00D04DA2" w:rsidRDefault="002031A7" w:rsidP="00D04DA2">
            <w:pPr>
              <w:spacing w:after="0" w:line="240" w:lineRule="auto"/>
              <w:contextualSpacing/>
              <w:rPr>
                <w:rFonts w:cstheme="minorHAnsi"/>
                <w:color w:val="000000"/>
                <w:sz w:val="20"/>
                <w:szCs w:val="20"/>
              </w:rPr>
            </w:pPr>
            <w:r w:rsidRPr="00D04DA2">
              <w:rPr>
                <w:rFonts w:cstheme="minorHAnsi"/>
                <w:sz w:val="20"/>
                <w:szCs w:val="20"/>
                <w:shd w:val="clear" w:color="auto" w:fill="FFFFFF"/>
              </w:rPr>
              <w:t xml:space="preserve">Regional </w:t>
            </w:r>
            <w:r w:rsidR="00893E69" w:rsidRPr="00D04DA2">
              <w:rPr>
                <w:rFonts w:cstheme="minorHAnsi"/>
                <w:sz w:val="20"/>
                <w:szCs w:val="20"/>
                <w:shd w:val="clear" w:color="auto" w:fill="FFFFFF"/>
              </w:rPr>
              <w:t>(</w:t>
            </w:r>
            <w:r w:rsidR="00E5474F" w:rsidRPr="00D04DA2">
              <w:rPr>
                <w:rFonts w:cstheme="minorHAnsi"/>
                <w:sz w:val="20"/>
                <w:szCs w:val="20"/>
                <w:shd w:val="clear" w:color="auto" w:fill="FFFFFF"/>
              </w:rPr>
              <w:t>Africa</w:t>
            </w:r>
            <w:r w:rsidR="00893E69" w:rsidRPr="00D04DA2">
              <w:rPr>
                <w:rFonts w:cstheme="minorHAnsi"/>
                <w:sz w:val="20"/>
                <w:szCs w:val="20"/>
                <w:shd w:val="clear" w:color="auto" w:fill="FFFFFF"/>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FBC11A" w14:textId="15ABFF3A" w:rsidR="00E5474F" w:rsidRPr="00D04DA2" w:rsidRDefault="00E5474F" w:rsidP="00D04DA2">
            <w:pPr>
              <w:spacing w:after="0" w:line="240" w:lineRule="auto"/>
              <w:contextualSpacing/>
              <w:rPr>
                <w:rFonts w:cstheme="minorHAnsi"/>
                <w:color w:val="000000"/>
                <w:sz w:val="20"/>
                <w:szCs w:val="20"/>
              </w:rPr>
            </w:pPr>
            <w:r w:rsidRPr="00D04DA2">
              <w:rPr>
                <w:rFonts w:cstheme="minorHAnsi"/>
                <w:sz w:val="20"/>
                <w:szCs w:val="20"/>
              </w:rPr>
              <w:t xml:space="preserve">11 economies </w:t>
            </w:r>
          </w:p>
        </w:tc>
        <w:tc>
          <w:tcPr>
            <w:tcW w:w="1418" w:type="dxa"/>
            <w:tcBorders>
              <w:top w:val="single" w:sz="4" w:space="0" w:color="auto"/>
              <w:left w:val="single" w:sz="4" w:space="0" w:color="auto"/>
              <w:bottom w:val="single" w:sz="4" w:space="0" w:color="auto"/>
              <w:right w:val="single" w:sz="4" w:space="0" w:color="auto"/>
            </w:tcBorders>
          </w:tcPr>
          <w:p w14:paraId="59FDB8AF" w14:textId="09EBB05B" w:rsidR="00E5474F" w:rsidRPr="00D04DA2" w:rsidRDefault="00CF0A89" w:rsidP="00D04DA2">
            <w:pPr>
              <w:spacing w:after="0" w:line="240" w:lineRule="auto"/>
              <w:contextualSpacing/>
              <w:rPr>
                <w:rFonts w:eastAsia="Times New Roman" w:cstheme="minorHAnsi"/>
                <w:sz w:val="20"/>
                <w:szCs w:val="20"/>
              </w:rPr>
            </w:pPr>
            <w:r>
              <w:rPr>
                <w:rFonts w:eastAsia="Times New Roman" w:cstheme="minorHAnsi"/>
                <w:sz w:val="20"/>
                <w:szCs w:val="20"/>
              </w:rPr>
              <w:t>7</w:t>
            </w:r>
            <w:r w:rsidR="00D62F12">
              <w:rPr>
                <w:rFonts w:eastAsia="Times New Roman" w:cstheme="minorHAnsi"/>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EEFB10" w14:textId="77777777" w:rsidR="00847D38"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Annual</w:t>
            </w:r>
            <w:r w:rsidR="00492179" w:rsidRPr="00D04DA2">
              <w:rPr>
                <w:rFonts w:eastAsia="Times New Roman" w:cstheme="minorHAnsi"/>
                <w:sz w:val="20"/>
                <w:szCs w:val="20"/>
              </w:rPr>
              <w:t>.</w:t>
            </w:r>
          </w:p>
          <w:p w14:paraId="3F210C9D" w14:textId="77777777" w:rsidR="00847D38" w:rsidRPr="00D04DA2" w:rsidRDefault="00847D38" w:rsidP="00D04DA2">
            <w:pPr>
              <w:spacing w:after="0" w:line="240" w:lineRule="auto"/>
              <w:contextualSpacing/>
              <w:rPr>
                <w:rFonts w:eastAsia="Times New Roman" w:cstheme="minorHAnsi"/>
                <w:sz w:val="20"/>
                <w:szCs w:val="20"/>
              </w:rPr>
            </w:pPr>
          </w:p>
          <w:p w14:paraId="152BDF82" w14:textId="287F2DF4" w:rsidR="00E5474F" w:rsidRPr="00D04DA2" w:rsidRDefault="000C7860" w:rsidP="00D04DA2">
            <w:pPr>
              <w:spacing w:after="0" w:line="240" w:lineRule="auto"/>
              <w:contextualSpacing/>
              <w:rPr>
                <w:rFonts w:cstheme="minorHAnsi"/>
                <w:color w:val="000000"/>
                <w:sz w:val="20"/>
                <w:szCs w:val="20"/>
              </w:rPr>
            </w:pPr>
            <w:r w:rsidRPr="00D04DA2">
              <w:rPr>
                <w:rFonts w:eastAsia="Times New Roman" w:cstheme="minorHAnsi"/>
                <w:sz w:val="20"/>
                <w:szCs w:val="20"/>
              </w:rPr>
              <w:t>The indicator is published</w:t>
            </w:r>
            <w:r w:rsidR="00E5474F" w:rsidRPr="00D04DA2">
              <w:rPr>
                <w:rFonts w:eastAsia="Times New Roman" w:cstheme="minorHAnsi"/>
                <w:sz w:val="20"/>
                <w:szCs w:val="20"/>
              </w:rPr>
              <w:t xml:space="preserve"> for 2000</w:t>
            </w:r>
            <w:r w:rsidR="009233FE" w:rsidRPr="00D04DA2">
              <w:rPr>
                <w:rFonts w:eastAsia="Times New Roman" w:cstheme="minorHAnsi"/>
                <w:sz w:val="20"/>
                <w:szCs w:val="20"/>
              </w:rPr>
              <w:t>-</w:t>
            </w:r>
            <w:r w:rsidR="00E5474F" w:rsidRPr="00D04DA2">
              <w:rPr>
                <w:rFonts w:eastAsia="Times New Roman" w:cstheme="minorHAnsi"/>
                <w:sz w:val="20"/>
                <w:szCs w:val="20"/>
              </w:rPr>
              <w:t>200</w:t>
            </w:r>
            <w:r w:rsidR="00472E40" w:rsidRPr="00D04DA2">
              <w:rPr>
                <w:rFonts w:eastAsia="Times New Roman" w:cstheme="minorHAnsi"/>
                <w:sz w:val="20"/>
                <w:szCs w:val="20"/>
              </w:rPr>
              <w:t>7</w:t>
            </w:r>
            <w:r w:rsidR="00C84C7A" w:rsidRPr="00D04DA2">
              <w:rPr>
                <w:rFonts w:eastAsia="Times New Roman" w:cstheme="minorHAnsi"/>
                <w:sz w:val="20"/>
                <w:szCs w:val="20"/>
              </w:rPr>
              <w:t>.</w:t>
            </w:r>
          </w:p>
        </w:tc>
        <w:tc>
          <w:tcPr>
            <w:tcW w:w="1664" w:type="dxa"/>
            <w:tcBorders>
              <w:top w:val="single" w:sz="4" w:space="0" w:color="auto"/>
              <w:left w:val="nil"/>
              <w:bottom w:val="single" w:sz="4" w:space="0" w:color="auto"/>
              <w:right w:val="single" w:sz="4" w:space="0" w:color="auto"/>
            </w:tcBorders>
          </w:tcPr>
          <w:p w14:paraId="4F2A48A1" w14:textId="77777777" w:rsidR="00E5474F" w:rsidRPr="00D04DA2" w:rsidRDefault="00FA1285" w:rsidP="00D04DA2">
            <w:pPr>
              <w:spacing w:after="0" w:line="240" w:lineRule="auto"/>
              <w:contextualSpacing/>
              <w:rPr>
                <w:rFonts w:cstheme="minorHAnsi"/>
                <w:color w:val="0563C1"/>
                <w:sz w:val="20"/>
                <w:szCs w:val="20"/>
                <w:u w:val="single"/>
              </w:rPr>
            </w:pPr>
            <w:hyperlink r:id="rId21" w:history="1">
              <w:r w:rsidR="00E5474F" w:rsidRPr="00D04DA2">
                <w:rPr>
                  <w:rStyle w:val="Hyperlink"/>
                  <w:rFonts w:eastAsia="Times New Roman" w:cstheme="minorHAnsi"/>
                  <w:sz w:val="20"/>
                  <w:szCs w:val="20"/>
                </w:rPr>
                <w:t>https://databank.worldbank.org/source/africa-infrastructure:-electricity</w:t>
              </w:r>
            </w:hyperlink>
            <w:r w:rsidR="00E5474F" w:rsidRPr="00D04DA2">
              <w:rPr>
                <w:rFonts w:eastAsia="Times New Roman" w:cstheme="minorHAnsi"/>
                <w:sz w:val="20"/>
                <w:szCs w:val="20"/>
              </w:rPr>
              <w:t xml:space="preserve"> </w:t>
            </w:r>
          </w:p>
        </w:tc>
      </w:tr>
      <w:tr w:rsidR="009E44AF" w:rsidRPr="00D04DA2" w14:paraId="41303A4F" w14:textId="77777777" w:rsidTr="167C0426">
        <w:trPr>
          <w:trHeight w:val="275"/>
        </w:trPr>
        <w:tc>
          <w:tcPr>
            <w:tcW w:w="510" w:type="dxa"/>
            <w:tcBorders>
              <w:top w:val="single" w:sz="4" w:space="0" w:color="auto"/>
              <w:left w:val="single" w:sz="4" w:space="0" w:color="auto"/>
              <w:bottom w:val="single" w:sz="4" w:space="0" w:color="auto"/>
              <w:right w:val="nil"/>
            </w:tcBorders>
          </w:tcPr>
          <w:p w14:paraId="0E1E09C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15</w:t>
            </w:r>
          </w:p>
        </w:tc>
        <w:tc>
          <w:tcPr>
            <w:tcW w:w="1341" w:type="dxa"/>
            <w:tcBorders>
              <w:top w:val="single" w:sz="4" w:space="0" w:color="auto"/>
              <w:left w:val="single" w:sz="4" w:space="0" w:color="auto"/>
              <w:bottom w:val="single" w:sz="4" w:space="0" w:color="auto"/>
              <w:right w:val="nil"/>
            </w:tcBorders>
          </w:tcPr>
          <w:p w14:paraId="3168B22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1887BD9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2A802205" w14:textId="595A8B82"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Effective tariff, consumption 500kWh/month</w:t>
            </w:r>
          </w:p>
          <w:p w14:paraId="10A5D217" w14:textId="77777777" w:rsidR="00E5474F" w:rsidRPr="00D04DA2" w:rsidRDefault="00E5474F" w:rsidP="00D04DA2">
            <w:pPr>
              <w:spacing w:after="0" w:line="240" w:lineRule="auto"/>
              <w:contextualSpacing/>
              <w:rPr>
                <w:rFonts w:cstheme="minorHAnsi"/>
                <w:sz w:val="20"/>
                <w:szCs w:val="20"/>
              </w:rPr>
            </w:pPr>
            <w:r w:rsidRPr="00D04DA2">
              <w:rPr>
                <w:rFonts w:cstheme="minorHAnsi"/>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44797FA4" w14:textId="01A6D797" w:rsidR="00E5474F" w:rsidRPr="00D04DA2" w:rsidRDefault="00E5474F" w:rsidP="00D04DA2">
            <w:pPr>
              <w:spacing w:after="0" w:line="240" w:lineRule="auto"/>
              <w:contextualSpacing/>
              <w:rPr>
                <w:rFonts w:cstheme="minorHAnsi"/>
                <w:sz w:val="20"/>
                <w:szCs w:val="20"/>
              </w:rPr>
            </w:pPr>
            <w:r w:rsidRPr="00D04DA2">
              <w:rPr>
                <w:rFonts w:cstheme="minorHAnsi"/>
                <w:color w:val="000000"/>
                <w:sz w:val="20"/>
                <w:szCs w:val="20"/>
              </w:rPr>
              <w:t>US cents</w:t>
            </w:r>
            <w:r w:rsidR="00BF3A6E" w:rsidRPr="00D04DA2">
              <w:rPr>
                <w:rFonts w:cstheme="minorHAnsi"/>
                <w:color w:val="000000"/>
                <w:sz w:val="20"/>
                <w:szCs w:val="20"/>
              </w:rPr>
              <w:t xml:space="preserve"> per </w:t>
            </w:r>
            <w:r w:rsidRPr="00D04DA2">
              <w:rPr>
                <w:rFonts w:cstheme="minorHAnsi"/>
                <w:color w:val="000000"/>
                <w:sz w:val="20"/>
                <w:szCs w:val="20"/>
              </w:rPr>
              <w:t>kWh</w:t>
            </w:r>
          </w:p>
          <w:p w14:paraId="042294C4" w14:textId="77777777" w:rsidR="00E5474F" w:rsidRPr="00D04DA2" w:rsidRDefault="00E5474F" w:rsidP="00D04DA2">
            <w:pPr>
              <w:spacing w:after="0" w:line="240" w:lineRule="auto"/>
              <w:contextualSpacing/>
              <w:rPr>
                <w:rFonts w:cstheme="minorHAnsi"/>
                <w:color w:val="000000"/>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DB1E30B" w14:textId="17337908"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World Bank Group - Africa Infrastructure: Electricity (Africa Infrastructure Country Diagnostics)</w:t>
            </w:r>
          </w:p>
        </w:tc>
        <w:tc>
          <w:tcPr>
            <w:tcW w:w="1341" w:type="dxa"/>
            <w:tcBorders>
              <w:top w:val="single" w:sz="4" w:space="0" w:color="auto"/>
              <w:left w:val="nil"/>
              <w:bottom w:val="single" w:sz="4" w:space="0" w:color="auto"/>
              <w:right w:val="single" w:sz="4" w:space="0" w:color="auto"/>
            </w:tcBorders>
            <w:shd w:val="clear" w:color="auto" w:fill="auto"/>
          </w:tcPr>
          <w:p w14:paraId="6C5FED8B" w14:textId="6BFC5E36"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728D174" w14:textId="706090AD" w:rsidR="00E5474F" w:rsidRPr="00D04DA2" w:rsidRDefault="00E5474F" w:rsidP="00D04DA2">
            <w:pPr>
              <w:spacing w:after="0" w:line="240" w:lineRule="auto"/>
              <w:contextualSpacing/>
              <w:rPr>
                <w:rFonts w:cstheme="minorHAnsi"/>
                <w:sz w:val="20"/>
                <w:szCs w:val="20"/>
                <w:shd w:val="clear" w:color="auto" w:fill="FFFFFF"/>
              </w:rPr>
            </w:pPr>
            <w:r w:rsidRPr="00D04DA2">
              <w:rPr>
                <w:rFonts w:cstheme="minorHAnsi"/>
                <w:sz w:val="20"/>
                <w:szCs w:val="20"/>
                <w:shd w:val="clear" w:color="auto" w:fill="FFFFFF"/>
              </w:rPr>
              <w:t xml:space="preserve">Africa Infrastructure Country Diagnostic (AICD) has data collection and analysis on the status of the main network infrastructures. Power sector is one of the nine sectors covered by AICD. </w:t>
            </w:r>
            <w:r w:rsidR="008F23A5" w:rsidRPr="00D04DA2">
              <w:rPr>
                <w:rFonts w:cstheme="minorHAnsi"/>
                <w:sz w:val="20"/>
                <w:szCs w:val="20"/>
                <w:shd w:val="clear" w:color="auto" w:fill="FFFFFF"/>
              </w:rPr>
              <w:t>One of</w:t>
            </w:r>
            <w:r w:rsidR="00DD13FA" w:rsidRPr="00D04DA2">
              <w:rPr>
                <w:rFonts w:cstheme="minorHAnsi"/>
                <w:sz w:val="20"/>
                <w:szCs w:val="20"/>
                <w:shd w:val="clear" w:color="auto" w:fill="FFFFFF"/>
              </w:rPr>
              <w:t xml:space="preserve"> </w:t>
            </w:r>
            <w:r w:rsidR="008F23A5" w:rsidRPr="00D04DA2">
              <w:rPr>
                <w:rFonts w:cstheme="minorHAnsi"/>
                <w:sz w:val="20"/>
                <w:szCs w:val="20"/>
                <w:shd w:val="clear" w:color="auto" w:fill="FFFFFF"/>
              </w:rPr>
              <w:t xml:space="preserve">the </w:t>
            </w:r>
            <w:r w:rsidR="008746A5" w:rsidRPr="00D04DA2">
              <w:rPr>
                <w:rFonts w:cstheme="minorHAnsi"/>
                <w:sz w:val="20"/>
                <w:szCs w:val="20"/>
                <w:shd w:val="clear" w:color="auto" w:fill="FFFFFF"/>
              </w:rPr>
              <w:t>indicator</w:t>
            </w:r>
            <w:r w:rsidR="008F23A5" w:rsidRPr="00D04DA2">
              <w:rPr>
                <w:rFonts w:cstheme="minorHAnsi"/>
                <w:sz w:val="20"/>
                <w:szCs w:val="20"/>
                <w:shd w:val="clear" w:color="auto" w:fill="FFFFFF"/>
              </w:rPr>
              <w:t>s</w:t>
            </w:r>
            <w:r w:rsidR="008746A5" w:rsidRPr="00D04DA2">
              <w:rPr>
                <w:rFonts w:cstheme="minorHAnsi"/>
                <w:sz w:val="20"/>
                <w:szCs w:val="20"/>
                <w:shd w:val="clear" w:color="auto" w:fill="FFFFFF"/>
              </w:rPr>
              <w:t xml:space="preserve"> evaluates </w:t>
            </w:r>
            <w:r w:rsidR="00646E59" w:rsidRPr="00D04DA2">
              <w:rPr>
                <w:rFonts w:cstheme="minorHAnsi"/>
                <w:color w:val="000000"/>
                <w:sz w:val="20"/>
                <w:szCs w:val="20"/>
              </w:rPr>
              <w:t>the e</w:t>
            </w:r>
            <w:r w:rsidR="008746A5" w:rsidRPr="00D04DA2">
              <w:rPr>
                <w:rFonts w:cstheme="minorHAnsi"/>
                <w:color w:val="000000"/>
                <w:sz w:val="20"/>
                <w:szCs w:val="20"/>
              </w:rPr>
              <w:t>ffective tariff</w:t>
            </w:r>
            <w:r w:rsidR="003F573A" w:rsidRPr="00D04DA2">
              <w:rPr>
                <w:rFonts w:cstheme="minorHAnsi"/>
                <w:color w:val="000000"/>
                <w:sz w:val="20"/>
                <w:szCs w:val="20"/>
              </w:rPr>
              <w:t xml:space="preserve"> </w:t>
            </w:r>
            <w:r w:rsidR="000F0E8B" w:rsidRPr="00D04DA2">
              <w:rPr>
                <w:rFonts w:cstheme="minorHAnsi"/>
                <w:color w:val="000000"/>
                <w:sz w:val="20"/>
                <w:szCs w:val="20"/>
              </w:rPr>
              <w:t>in US</w:t>
            </w:r>
            <w:r w:rsidR="00076759" w:rsidRPr="00D04DA2">
              <w:rPr>
                <w:rFonts w:cstheme="minorHAnsi"/>
                <w:color w:val="000000"/>
                <w:sz w:val="20"/>
                <w:szCs w:val="20"/>
              </w:rPr>
              <w:t xml:space="preserve"> cents per 1 kWh</w:t>
            </w:r>
            <w:r w:rsidR="008C69D6" w:rsidRPr="00D04DA2">
              <w:rPr>
                <w:rFonts w:cstheme="minorHAnsi"/>
                <w:color w:val="000000"/>
                <w:sz w:val="20"/>
                <w:szCs w:val="20"/>
              </w:rPr>
              <w:t xml:space="preserve"> </w:t>
            </w:r>
            <w:r w:rsidR="003F573A" w:rsidRPr="00D04DA2">
              <w:rPr>
                <w:rFonts w:cstheme="minorHAnsi"/>
                <w:color w:val="000000"/>
                <w:sz w:val="20"/>
                <w:szCs w:val="20"/>
              </w:rPr>
              <w:t xml:space="preserve">for </w:t>
            </w:r>
            <w:r w:rsidR="008746A5" w:rsidRPr="00D04DA2">
              <w:rPr>
                <w:rFonts w:cstheme="minorHAnsi"/>
                <w:color w:val="000000"/>
                <w:sz w:val="20"/>
                <w:szCs w:val="20"/>
              </w:rPr>
              <w:t>consumption</w:t>
            </w:r>
            <w:r w:rsidR="008C69D6" w:rsidRPr="00D04DA2">
              <w:rPr>
                <w:rFonts w:cstheme="minorHAnsi"/>
                <w:color w:val="000000"/>
                <w:sz w:val="20"/>
                <w:szCs w:val="20"/>
              </w:rPr>
              <w:t xml:space="preserve"> category </w:t>
            </w:r>
            <w:r w:rsidR="000F0E8B" w:rsidRPr="00D04DA2">
              <w:rPr>
                <w:rFonts w:cstheme="minorHAnsi"/>
                <w:color w:val="000000"/>
                <w:sz w:val="20"/>
                <w:szCs w:val="20"/>
              </w:rPr>
              <w:t xml:space="preserve">of </w:t>
            </w:r>
            <w:r w:rsidR="008746A5" w:rsidRPr="00D04DA2">
              <w:rPr>
                <w:rFonts w:cstheme="minorHAnsi"/>
                <w:color w:val="000000"/>
                <w:sz w:val="20"/>
                <w:szCs w:val="20"/>
              </w:rPr>
              <w:t>500kWh/month</w:t>
            </w:r>
            <w:r w:rsidR="008C69D6" w:rsidRPr="00D04DA2">
              <w:rPr>
                <w:rFonts w:cstheme="minorHAnsi"/>
                <w:color w:val="000000"/>
                <w:sz w:val="20"/>
                <w:szCs w:val="20"/>
              </w:rPr>
              <w:t>.</w:t>
            </w:r>
          </w:p>
          <w:p w14:paraId="33F80E9B" w14:textId="77777777" w:rsidR="00E5474F" w:rsidRPr="00D04DA2" w:rsidRDefault="00E5474F" w:rsidP="00D04DA2">
            <w:pPr>
              <w:spacing w:after="0" w:line="240" w:lineRule="auto"/>
              <w:contextualSpacing/>
              <w:rPr>
                <w:rFonts w:cstheme="minorHAnsi"/>
                <w:sz w:val="20"/>
                <w:szCs w:val="20"/>
                <w:shd w:val="clear" w:color="auto" w:fill="FFFFFF"/>
              </w:rPr>
            </w:pPr>
          </w:p>
        </w:tc>
        <w:tc>
          <w:tcPr>
            <w:tcW w:w="1485" w:type="dxa"/>
            <w:tcBorders>
              <w:top w:val="single" w:sz="4" w:space="0" w:color="auto"/>
              <w:left w:val="single" w:sz="4" w:space="0" w:color="auto"/>
              <w:bottom w:val="single" w:sz="4" w:space="0" w:color="auto"/>
              <w:right w:val="single" w:sz="4" w:space="0" w:color="auto"/>
            </w:tcBorders>
          </w:tcPr>
          <w:p w14:paraId="6C474A30" w14:textId="78A97BC4" w:rsidR="00E5474F" w:rsidRPr="00D04DA2" w:rsidRDefault="005C73EF" w:rsidP="00D04DA2">
            <w:pPr>
              <w:spacing w:after="0" w:line="240" w:lineRule="auto"/>
              <w:contextualSpacing/>
              <w:rPr>
                <w:rFonts w:cstheme="minorHAnsi"/>
                <w:sz w:val="20"/>
                <w:szCs w:val="20"/>
                <w:shd w:val="clear" w:color="auto" w:fill="FFFFFF"/>
              </w:rPr>
            </w:pPr>
            <w:r w:rsidRPr="00D04DA2">
              <w:rPr>
                <w:rFonts w:cstheme="minorHAnsi"/>
                <w:sz w:val="20"/>
                <w:szCs w:val="20"/>
                <w:shd w:val="clear" w:color="auto" w:fill="FFFFFF"/>
              </w:rPr>
              <w:t>Policy metrics/</w:t>
            </w:r>
            <w:r w:rsidR="00E13831" w:rsidRPr="00D04DA2">
              <w:rPr>
                <w:rFonts w:cstheme="minorHAnsi"/>
                <w:sz w:val="20"/>
                <w:szCs w:val="20"/>
                <w:shd w:val="clear" w:color="auto" w:fill="FFFFFF"/>
              </w:rPr>
              <w:t>O</w:t>
            </w:r>
            <w:r w:rsidRPr="00D04DA2">
              <w:rPr>
                <w:rFonts w:cstheme="minorHAnsi"/>
                <w:sz w:val="20"/>
                <w:szCs w:val="20"/>
                <w:shd w:val="clear" w:color="auto" w:fill="FFFFFF"/>
              </w:rPr>
              <w:t>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E552461" w14:textId="114C61DC" w:rsidR="00E5474F" w:rsidRPr="00D04DA2" w:rsidRDefault="002031A7" w:rsidP="00D04DA2">
            <w:pPr>
              <w:spacing w:after="0" w:line="240" w:lineRule="auto"/>
              <w:contextualSpacing/>
              <w:rPr>
                <w:rFonts w:cstheme="minorHAnsi"/>
                <w:sz w:val="20"/>
                <w:szCs w:val="20"/>
              </w:rPr>
            </w:pPr>
            <w:r w:rsidRPr="00D04DA2">
              <w:rPr>
                <w:rFonts w:cstheme="minorHAnsi"/>
                <w:sz w:val="20"/>
                <w:szCs w:val="20"/>
                <w:shd w:val="clear" w:color="auto" w:fill="FFFFFF"/>
              </w:rPr>
              <w:t xml:space="preserve">Regional </w:t>
            </w:r>
            <w:r w:rsidR="00893E69" w:rsidRPr="00D04DA2">
              <w:rPr>
                <w:rFonts w:cstheme="minorHAnsi"/>
                <w:sz w:val="20"/>
                <w:szCs w:val="20"/>
                <w:shd w:val="clear" w:color="auto" w:fill="FFFFFF"/>
              </w:rPr>
              <w:t>(</w:t>
            </w:r>
            <w:r w:rsidR="00E5474F" w:rsidRPr="00D04DA2">
              <w:rPr>
                <w:rFonts w:cstheme="minorHAnsi"/>
                <w:sz w:val="20"/>
                <w:szCs w:val="20"/>
                <w:shd w:val="clear" w:color="auto" w:fill="FFFFFF"/>
              </w:rPr>
              <w:t>Africa</w:t>
            </w:r>
            <w:r w:rsidR="00893E69" w:rsidRPr="00D04DA2">
              <w:rPr>
                <w:rFonts w:cstheme="minorHAnsi"/>
                <w:sz w:val="20"/>
                <w:szCs w:val="20"/>
                <w:shd w:val="clear" w:color="auto" w:fill="FFFFFF"/>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616F70" w14:textId="7632C46C" w:rsidR="00E5474F" w:rsidRPr="00D04DA2" w:rsidRDefault="00E5474F" w:rsidP="00D04DA2">
            <w:pPr>
              <w:spacing w:after="0" w:line="240" w:lineRule="auto"/>
              <w:contextualSpacing/>
              <w:rPr>
                <w:rFonts w:eastAsia="Times New Roman" w:cstheme="minorHAnsi"/>
                <w:sz w:val="20"/>
                <w:szCs w:val="20"/>
              </w:rPr>
            </w:pPr>
            <w:r w:rsidRPr="00D04DA2">
              <w:rPr>
                <w:rFonts w:cstheme="minorHAnsi"/>
                <w:sz w:val="20"/>
                <w:szCs w:val="20"/>
              </w:rPr>
              <w:t>24 economies</w:t>
            </w:r>
          </w:p>
        </w:tc>
        <w:tc>
          <w:tcPr>
            <w:tcW w:w="1418" w:type="dxa"/>
            <w:tcBorders>
              <w:top w:val="single" w:sz="4" w:space="0" w:color="auto"/>
              <w:left w:val="nil"/>
              <w:bottom w:val="single" w:sz="4" w:space="0" w:color="auto"/>
              <w:right w:val="single" w:sz="4" w:space="0" w:color="auto"/>
            </w:tcBorders>
          </w:tcPr>
          <w:p w14:paraId="351710BA" w14:textId="679A0464" w:rsidR="00E5474F" w:rsidRPr="00D04DA2" w:rsidRDefault="00CF0A89" w:rsidP="00D04DA2">
            <w:pPr>
              <w:spacing w:after="0" w:line="240" w:lineRule="auto"/>
              <w:contextualSpacing/>
              <w:rPr>
                <w:rFonts w:eastAsia="Times New Roman" w:cstheme="minorHAnsi"/>
                <w:sz w:val="20"/>
                <w:szCs w:val="20"/>
              </w:rPr>
            </w:pPr>
            <w:r>
              <w:rPr>
                <w:rFonts w:eastAsia="Times New Roman" w:cstheme="minorHAnsi"/>
                <w:sz w:val="20"/>
                <w:szCs w:val="20"/>
              </w:rPr>
              <w:t>11</w:t>
            </w:r>
            <w:r w:rsidR="00D62F12">
              <w:rPr>
                <w:rFonts w:eastAsia="Times New Roman" w:cstheme="minorHAnsi"/>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3BFCD921" w14:textId="3F2C7D07" w:rsidR="00E5474F" w:rsidRPr="00D04DA2" w:rsidRDefault="00C500C9" w:rsidP="00D04DA2">
            <w:pPr>
              <w:spacing w:after="0" w:line="240" w:lineRule="auto"/>
              <w:contextualSpacing/>
              <w:rPr>
                <w:rFonts w:eastAsia="Times New Roman" w:cstheme="minorHAnsi"/>
                <w:sz w:val="20"/>
                <w:szCs w:val="20"/>
              </w:rPr>
            </w:pPr>
            <w:r w:rsidRPr="00D04DA2">
              <w:rPr>
                <w:rFonts w:eastAsia="Times New Roman" w:cstheme="minorHAnsi"/>
                <w:sz w:val="20"/>
                <w:szCs w:val="20"/>
              </w:rPr>
              <w:t xml:space="preserve">The indicator is </w:t>
            </w:r>
            <w:r w:rsidR="005E3EAC" w:rsidRPr="00D04DA2">
              <w:rPr>
                <w:rFonts w:eastAsia="Times New Roman" w:cstheme="minorHAnsi"/>
                <w:sz w:val="20"/>
                <w:szCs w:val="20"/>
              </w:rPr>
              <w:t>published</w:t>
            </w:r>
            <w:r w:rsidRPr="00D04DA2">
              <w:rPr>
                <w:rFonts w:eastAsia="Times New Roman" w:cstheme="minorHAnsi"/>
                <w:sz w:val="20"/>
                <w:szCs w:val="20"/>
              </w:rPr>
              <w:t xml:space="preserve"> for </w:t>
            </w:r>
            <w:r w:rsidR="00A83C00" w:rsidRPr="00D04DA2">
              <w:rPr>
                <w:rFonts w:eastAsia="Times New Roman" w:cstheme="minorHAnsi"/>
                <w:sz w:val="20"/>
                <w:szCs w:val="20"/>
              </w:rPr>
              <w:t>2005</w:t>
            </w:r>
            <w:r w:rsidRPr="00D04DA2">
              <w:rPr>
                <w:rFonts w:eastAsia="Times New Roman" w:cstheme="minorHAnsi"/>
                <w:sz w:val="20"/>
                <w:szCs w:val="20"/>
              </w:rPr>
              <w:t xml:space="preserve"> only.</w:t>
            </w:r>
          </w:p>
        </w:tc>
        <w:tc>
          <w:tcPr>
            <w:tcW w:w="1664" w:type="dxa"/>
            <w:tcBorders>
              <w:top w:val="single" w:sz="4" w:space="0" w:color="auto"/>
              <w:left w:val="nil"/>
              <w:bottom w:val="single" w:sz="4" w:space="0" w:color="auto"/>
              <w:right w:val="single" w:sz="4" w:space="0" w:color="auto"/>
            </w:tcBorders>
          </w:tcPr>
          <w:p w14:paraId="6E229EBA" w14:textId="77777777" w:rsidR="00E5474F" w:rsidRPr="00D04DA2" w:rsidRDefault="00FA1285" w:rsidP="00D04DA2">
            <w:pPr>
              <w:spacing w:after="0" w:line="240" w:lineRule="auto"/>
              <w:contextualSpacing/>
              <w:rPr>
                <w:rFonts w:cstheme="minorHAnsi"/>
                <w:sz w:val="20"/>
                <w:szCs w:val="20"/>
              </w:rPr>
            </w:pPr>
            <w:hyperlink r:id="rId22" w:history="1">
              <w:r w:rsidR="00E5474F" w:rsidRPr="00D04DA2">
                <w:rPr>
                  <w:rStyle w:val="Hyperlink"/>
                  <w:rFonts w:eastAsia="Times New Roman" w:cstheme="minorHAnsi"/>
                  <w:sz w:val="20"/>
                  <w:szCs w:val="20"/>
                </w:rPr>
                <w:t>https://databank.worldbank.org/source/africa-infrastructure:-electricity</w:t>
              </w:r>
            </w:hyperlink>
            <w:r w:rsidR="00E5474F" w:rsidRPr="00D04DA2">
              <w:rPr>
                <w:rFonts w:eastAsia="Times New Roman" w:cstheme="minorHAnsi"/>
                <w:sz w:val="20"/>
                <w:szCs w:val="20"/>
              </w:rPr>
              <w:t xml:space="preserve"> </w:t>
            </w:r>
          </w:p>
        </w:tc>
      </w:tr>
      <w:tr w:rsidR="00893E69" w:rsidRPr="00D04DA2" w14:paraId="57B4FF7F" w14:textId="77777777" w:rsidTr="005E3EAC">
        <w:trPr>
          <w:trHeight w:val="275"/>
        </w:trPr>
        <w:tc>
          <w:tcPr>
            <w:tcW w:w="510" w:type="dxa"/>
            <w:tcBorders>
              <w:top w:val="single" w:sz="4" w:space="0" w:color="auto"/>
              <w:left w:val="single" w:sz="4" w:space="0" w:color="auto"/>
              <w:bottom w:val="single" w:sz="4" w:space="0" w:color="auto"/>
              <w:right w:val="nil"/>
            </w:tcBorders>
          </w:tcPr>
          <w:p w14:paraId="7239C289"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16</w:t>
            </w:r>
          </w:p>
        </w:tc>
        <w:tc>
          <w:tcPr>
            <w:tcW w:w="1341" w:type="dxa"/>
            <w:tcBorders>
              <w:top w:val="single" w:sz="4" w:space="0" w:color="auto"/>
              <w:left w:val="single" w:sz="4" w:space="0" w:color="auto"/>
              <w:bottom w:val="single" w:sz="4" w:space="0" w:color="auto"/>
              <w:right w:val="nil"/>
            </w:tcBorders>
          </w:tcPr>
          <w:p w14:paraId="2CE8F9C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electricity</w:t>
            </w:r>
          </w:p>
        </w:tc>
        <w:tc>
          <w:tcPr>
            <w:tcW w:w="1341" w:type="dxa"/>
            <w:tcBorders>
              <w:top w:val="single" w:sz="4" w:space="0" w:color="auto"/>
              <w:left w:val="single" w:sz="4" w:space="0" w:color="auto"/>
              <w:bottom w:val="single" w:sz="4" w:space="0" w:color="auto"/>
              <w:right w:val="single" w:sz="4" w:space="0" w:color="auto"/>
            </w:tcBorders>
          </w:tcPr>
          <w:p w14:paraId="00C42D6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018E7B26" w14:textId="4BDC4D50" w:rsidR="00E5474F" w:rsidRPr="00D04DA2" w:rsidRDefault="00E5474F" w:rsidP="00D04DA2">
            <w:pPr>
              <w:pStyle w:val="Heading3"/>
              <w:shd w:val="clear" w:color="auto" w:fill="FFFFFF"/>
              <w:spacing w:before="0" w:beforeAutospacing="0" w:after="0" w:afterAutospacing="0"/>
              <w:contextualSpacing/>
              <w:textAlignment w:val="baseline"/>
              <w:rPr>
                <w:rFonts w:asciiTheme="minorHAnsi" w:hAnsiTheme="minorHAnsi" w:cstheme="minorHAnsi"/>
                <w:sz w:val="20"/>
                <w:szCs w:val="20"/>
              </w:rPr>
            </w:pPr>
            <w:r w:rsidRPr="00D04DA2">
              <w:rPr>
                <w:rFonts w:asciiTheme="minorHAnsi" w:hAnsiTheme="minorHAnsi" w:cstheme="minorHAnsi"/>
                <w:b w:val="0"/>
                <w:bCs w:val="0"/>
                <w:sz w:val="20"/>
                <w:szCs w:val="20"/>
              </w:rPr>
              <w:t>Electricity prices by type of user - Electricity prices for non-household consumers</w:t>
            </w:r>
          </w:p>
        </w:tc>
        <w:tc>
          <w:tcPr>
            <w:tcW w:w="1080" w:type="dxa"/>
            <w:tcBorders>
              <w:top w:val="single" w:sz="4" w:space="0" w:color="auto"/>
              <w:left w:val="single" w:sz="4" w:space="0" w:color="auto"/>
              <w:bottom w:val="single" w:sz="4" w:space="0" w:color="auto"/>
              <w:right w:val="single" w:sz="4" w:space="0" w:color="auto"/>
            </w:tcBorders>
          </w:tcPr>
          <w:p w14:paraId="521712A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Euro per kWh</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A33FB9D"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Eurostat</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74894F9"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Public sector organization</w:t>
            </w:r>
          </w:p>
        </w:tc>
        <w:tc>
          <w:tcPr>
            <w:tcW w:w="5659" w:type="dxa"/>
            <w:tcBorders>
              <w:top w:val="single" w:sz="4" w:space="0" w:color="auto"/>
              <w:left w:val="nil"/>
              <w:bottom w:val="single" w:sz="4" w:space="0" w:color="auto"/>
              <w:right w:val="single" w:sz="4" w:space="0" w:color="auto"/>
            </w:tcBorders>
            <w:shd w:val="clear" w:color="auto" w:fill="auto"/>
          </w:tcPr>
          <w:p w14:paraId="5687CD40" w14:textId="272C22C4" w:rsidR="00E5474F" w:rsidRPr="00D04DA2" w:rsidRDefault="00E5474F" w:rsidP="00D04DA2">
            <w:pPr>
              <w:spacing w:after="0" w:line="240" w:lineRule="auto"/>
              <w:contextualSpacing/>
              <w:rPr>
                <w:rFonts w:cstheme="minorHAnsi"/>
                <w:sz w:val="20"/>
                <w:szCs w:val="20"/>
                <w:shd w:val="clear" w:color="auto" w:fill="FFFFFF"/>
              </w:rPr>
            </w:pPr>
            <w:r w:rsidRPr="00D04DA2">
              <w:rPr>
                <w:rFonts w:cstheme="minorHAnsi"/>
                <w:sz w:val="20"/>
                <w:szCs w:val="20"/>
              </w:rPr>
              <w:t xml:space="preserve">This indicator presents electricity prices charged to final consumers. Electricity prices for non-household consumers are defined as follows: </w:t>
            </w:r>
            <w:r w:rsidR="00485929" w:rsidRPr="00D04DA2">
              <w:rPr>
                <w:rFonts w:cstheme="minorHAnsi"/>
                <w:sz w:val="20"/>
                <w:szCs w:val="20"/>
              </w:rPr>
              <w:t>a</w:t>
            </w:r>
            <w:r w:rsidRPr="00D04DA2">
              <w:rPr>
                <w:rFonts w:cstheme="minorHAnsi"/>
                <w:sz w:val="20"/>
                <w:szCs w:val="20"/>
              </w:rPr>
              <w:t xml:space="preserve">verage national price in Euro per kWh without taxes applicable for the first semester of each year for medium size industrial consumers (Consumption Band </w:t>
            </w:r>
            <w:proofErr w:type="spellStart"/>
            <w:r w:rsidRPr="00D04DA2">
              <w:rPr>
                <w:rFonts w:cstheme="minorHAnsi"/>
                <w:sz w:val="20"/>
                <w:szCs w:val="20"/>
              </w:rPr>
              <w:t>Ic</w:t>
            </w:r>
            <w:proofErr w:type="spellEnd"/>
            <w:r w:rsidRPr="00D04DA2">
              <w:rPr>
                <w:rFonts w:cstheme="minorHAnsi"/>
                <w:sz w:val="20"/>
                <w:szCs w:val="20"/>
              </w:rPr>
              <w:t xml:space="preserve"> with annual consumption between 500 and 2000 MWh). </w:t>
            </w:r>
          </w:p>
        </w:tc>
        <w:tc>
          <w:tcPr>
            <w:tcW w:w="1485" w:type="dxa"/>
            <w:tcBorders>
              <w:top w:val="single" w:sz="4" w:space="0" w:color="auto"/>
              <w:left w:val="nil"/>
              <w:bottom w:val="single" w:sz="4" w:space="0" w:color="auto"/>
              <w:right w:val="single" w:sz="4" w:space="0" w:color="auto"/>
            </w:tcBorders>
          </w:tcPr>
          <w:p w14:paraId="6E2BE9DC" w14:textId="633E815B" w:rsidR="00E5474F" w:rsidRPr="00D04DA2" w:rsidRDefault="005C73EF" w:rsidP="00D04DA2">
            <w:pPr>
              <w:spacing w:after="0" w:line="240" w:lineRule="auto"/>
              <w:contextualSpacing/>
              <w:rPr>
                <w:rFonts w:cstheme="minorHAnsi"/>
                <w:sz w:val="20"/>
                <w:szCs w:val="20"/>
                <w:shd w:val="clear" w:color="auto" w:fill="FFFFFF"/>
              </w:rPr>
            </w:pPr>
            <w:r w:rsidRPr="00D04DA2">
              <w:rPr>
                <w:rFonts w:cstheme="minorHAnsi"/>
                <w:sz w:val="20"/>
                <w:szCs w:val="20"/>
                <w:shd w:val="clear" w:color="auto" w:fill="FFFFFF"/>
              </w:rPr>
              <w:t>Policy metrics/</w:t>
            </w:r>
            <w:r w:rsidR="006F1B93" w:rsidRPr="00D04DA2">
              <w:rPr>
                <w:rFonts w:cstheme="minorHAnsi"/>
                <w:sz w:val="20"/>
                <w:szCs w:val="20"/>
                <w:shd w:val="clear" w:color="auto" w:fill="FFFFFF"/>
              </w:rPr>
              <w:t>O</w:t>
            </w:r>
            <w:r w:rsidRPr="00D04DA2">
              <w:rPr>
                <w:rFonts w:cstheme="minorHAnsi"/>
                <w:sz w:val="20"/>
                <w:szCs w:val="20"/>
                <w:shd w:val="clear" w:color="auto" w:fill="FFFFFF"/>
              </w:rPr>
              <w:t>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32DA0451" w14:textId="22E1291D" w:rsidR="00E5474F" w:rsidRPr="00D04DA2" w:rsidRDefault="002031A7" w:rsidP="00D04DA2">
            <w:pPr>
              <w:spacing w:after="0" w:line="240" w:lineRule="auto"/>
              <w:contextualSpacing/>
              <w:rPr>
                <w:rFonts w:cstheme="minorHAnsi"/>
                <w:sz w:val="20"/>
                <w:szCs w:val="20"/>
                <w:shd w:val="clear" w:color="auto" w:fill="FFFFFF"/>
              </w:rPr>
            </w:pPr>
            <w:r w:rsidRPr="00D04DA2">
              <w:rPr>
                <w:rFonts w:cstheme="minorHAnsi"/>
                <w:sz w:val="20"/>
                <w:szCs w:val="20"/>
                <w:shd w:val="clear" w:color="auto" w:fill="FFFFFF"/>
              </w:rPr>
              <w:t xml:space="preserve">Regional </w:t>
            </w:r>
            <w:r w:rsidR="00893E69" w:rsidRPr="00D04DA2">
              <w:rPr>
                <w:rFonts w:cstheme="minorHAnsi"/>
                <w:sz w:val="20"/>
                <w:szCs w:val="20"/>
                <w:shd w:val="clear" w:color="auto" w:fill="FFFFFF"/>
              </w:rPr>
              <w:t>(</w:t>
            </w:r>
            <w:r w:rsidR="00E5474F" w:rsidRPr="00D04DA2">
              <w:rPr>
                <w:rFonts w:cstheme="minorHAnsi"/>
                <w:sz w:val="20"/>
                <w:szCs w:val="20"/>
                <w:shd w:val="clear" w:color="auto" w:fill="FFFFFF"/>
              </w:rPr>
              <w:t>Europe</w:t>
            </w:r>
            <w:r w:rsidR="00893E69" w:rsidRPr="00D04DA2">
              <w:rPr>
                <w:rFonts w:cstheme="minorHAnsi"/>
                <w:sz w:val="20"/>
                <w:szCs w:val="20"/>
                <w:shd w:val="clear" w:color="auto" w:fill="FFFFFF"/>
              </w:rPr>
              <w:t>)</w:t>
            </w:r>
          </w:p>
        </w:tc>
        <w:tc>
          <w:tcPr>
            <w:tcW w:w="1350" w:type="dxa"/>
            <w:tcBorders>
              <w:top w:val="single" w:sz="4" w:space="0" w:color="auto"/>
              <w:left w:val="single" w:sz="4" w:space="0" w:color="auto"/>
              <w:bottom w:val="single" w:sz="4" w:space="0" w:color="auto"/>
              <w:right w:val="single" w:sz="4" w:space="0" w:color="auto"/>
            </w:tcBorders>
          </w:tcPr>
          <w:p w14:paraId="70E458C3" w14:textId="5F2D7505" w:rsidR="00E5474F" w:rsidRPr="00D04DA2" w:rsidRDefault="00A14DD4" w:rsidP="00D04DA2">
            <w:pPr>
              <w:spacing w:after="0" w:line="240" w:lineRule="auto"/>
              <w:contextualSpacing/>
              <w:rPr>
                <w:rFonts w:cstheme="minorHAnsi"/>
                <w:sz w:val="20"/>
                <w:szCs w:val="20"/>
              </w:rPr>
            </w:pPr>
            <w:r w:rsidRPr="007B6FFB">
              <w:rPr>
                <w:rFonts w:cstheme="minorHAnsi"/>
                <w:sz w:val="20"/>
                <w:szCs w:val="20"/>
              </w:rPr>
              <w:t>4</w:t>
            </w:r>
            <w:r w:rsidR="00583C2C">
              <w:rPr>
                <w:rFonts w:cstheme="minorHAnsi"/>
                <w:sz w:val="20"/>
                <w:szCs w:val="20"/>
              </w:rPr>
              <w:t>1</w:t>
            </w:r>
            <w:r w:rsidR="00E5474F" w:rsidRPr="00D04DA2">
              <w:rPr>
                <w:rFonts w:cstheme="minorHAnsi"/>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7FDC5A51" w14:textId="159065BA" w:rsidR="00E5474F" w:rsidRPr="00D04DA2" w:rsidRDefault="00CF0A89" w:rsidP="00D04DA2">
            <w:pPr>
              <w:spacing w:after="0" w:line="240" w:lineRule="auto"/>
              <w:contextualSpacing/>
              <w:rPr>
                <w:rFonts w:eastAsia="Times New Roman" w:cstheme="minorHAnsi"/>
                <w:sz w:val="20"/>
                <w:szCs w:val="20"/>
              </w:rPr>
            </w:pPr>
            <w:r>
              <w:rPr>
                <w:rFonts w:eastAsia="Times New Roman"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9C4CB4" w14:textId="3430F94C"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Annual</w:t>
            </w:r>
            <w:r w:rsidR="00893E69" w:rsidRPr="00D04DA2">
              <w:rPr>
                <w:rFonts w:eastAsia="Times New Roman" w:cstheme="minorHAnsi"/>
                <w:sz w:val="20"/>
                <w:szCs w:val="20"/>
              </w:rPr>
              <w:t>.</w:t>
            </w:r>
          </w:p>
          <w:p w14:paraId="55D8B8E4" w14:textId="77777777" w:rsidR="00893E69" w:rsidRPr="00D04DA2" w:rsidRDefault="00893E69" w:rsidP="00D04DA2">
            <w:pPr>
              <w:spacing w:after="0" w:line="240" w:lineRule="auto"/>
              <w:contextualSpacing/>
              <w:rPr>
                <w:rFonts w:eastAsia="Times New Roman" w:cstheme="minorHAnsi"/>
                <w:sz w:val="20"/>
                <w:szCs w:val="20"/>
              </w:rPr>
            </w:pPr>
          </w:p>
          <w:p w14:paraId="032E19AB" w14:textId="61F039B3" w:rsidR="00385D10" w:rsidRPr="00D04DA2" w:rsidRDefault="00385D10" w:rsidP="00D04DA2">
            <w:pPr>
              <w:spacing w:after="0" w:line="240" w:lineRule="auto"/>
              <w:contextualSpacing/>
              <w:rPr>
                <w:rFonts w:cstheme="minorHAnsi"/>
                <w:sz w:val="20"/>
                <w:szCs w:val="20"/>
              </w:rPr>
            </w:pPr>
            <w:r w:rsidRPr="00D04DA2">
              <w:rPr>
                <w:rFonts w:eastAsia="Times New Roman" w:cstheme="minorHAnsi"/>
                <w:sz w:val="20"/>
                <w:szCs w:val="20"/>
              </w:rPr>
              <w:t xml:space="preserve">The indicator is published for </w:t>
            </w:r>
            <w:r w:rsidR="00405D48" w:rsidRPr="00D04DA2">
              <w:rPr>
                <w:rFonts w:eastAsia="Times New Roman" w:cstheme="minorHAnsi"/>
                <w:sz w:val="20"/>
                <w:szCs w:val="20"/>
              </w:rPr>
              <w:t>2009</w:t>
            </w:r>
            <w:r w:rsidR="005E3EAC" w:rsidRPr="00D04DA2">
              <w:rPr>
                <w:rFonts w:eastAsia="Times New Roman" w:cstheme="minorHAnsi"/>
                <w:sz w:val="20"/>
                <w:szCs w:val="20"/>
              </w:rPr>
              <w:t>-</w:t>
            </w:r>
            <w:r w:rsidR="00556E4D" w:rsidRPr="00D04DA2">
              <w:rPr>
                <w:rFonts w:eastAsia="Times New Roman" w:cstheme="minorHAnsi"/>
                <w:sz w:val="20"/>
                <w:szCs w:val="20"/>
              </w:rPr>
              <w:t>2020</w:t>
            </w:r>
            <w:r w:rsidR="00893E69" w:rsidRPr="00D04DA2">
              <w:rPr>
                <w:rFonts w:eastAsia="Times New Roman" w:cstheme="minorHAnsi"/>
                <w:sz w:val="20"/>
                <w:szCs w:val="20"/>
              </w:rPr>
              <w:t>.</w:t>
            </w:r>
            <w:r w:rsidRPr="00D04DA2">
              <w:rPr>
                <w:rFonts w:eastAsia="Times New Roman" w:cstheme="minorHAnsi"/>
                <w:sz w:val="20"/>
                <w:szCs w:val="20"/>
              </w:rPr>
              <w:t xml:space="preserve"> </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A9B6D18" w14:textId="77777777" w:rsidR="00E5474F" w:rsidRPr="00D04DA2" w:rsidRDefault="00FA1285" w:rsidP="00D04DA2">
            <w:pPr>
              <w:spacing w:after="0" w:line="240" w:lineRule="auto"/>
              <w:contextualSpacing/>
              <w:rPr>
                <w:rFonts w:cstheme="minorHAnsi"/>
                <w:sz w:val="20"/>
                <w:szCs w:val="20"/>
              </w:rPr>
            </w:pPr>
            <w:hyperlink r:id="rId23" w:history="1">
              <w:r w:rsidR="00E5474F" w:rsidRPr="00D04DA2">
                <w:rPr>
                  <w:rStyle w:val="Hyperlink"/>
                  <w:rFonts w:cstheme="minorHAnsi"/>
                  <w:sz w:val="20"/>
                  <w:szCs w:val="20"/>
                </w:rPr>
                <w:t>https://ec.europa.eu/eurostat/databrowser/view/ten00117/settings_1/table?lang=en</w:t>
              </w:r>
            </w:hyperlink>
            <w:r w:rsidR="00E5474F" w:rsidRPr="00D04DA2">
              <w:rPr>
                <w:rFonts w:cstheme="minorHAnsi"/>
                <w:sz w:val="20"/>
                <w:szCs w:val="20"/>
              </w:rPr>
              <w:t xml:space="preserve"> </w:t>
            </w:r>
          </w:p>
        </w:tc>
      </w:tr>
      <w:tr w:rsidR="00912FA5" w:rsidRPr="00D04DA2" w14:paraId="0606C4CB"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55BA8A72"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17</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05E130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Registering property</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0DB92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7D86036E" w14:textId="43F73920" w:rsidR="00E5474F" w:rsidRPr="00D04DA2" w:rsidRDefault="1F0A0F3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Digitized ID system</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3E9E7B" w14:textId="5FF5179B" w:rsidR="00E5474F" w:rsidRPr="00D04DA2" w:rsidRDefault="00EE251C" w:rsidP="00D04DA2">
            <w:pPr>
              <w:spacing w:after="0" w:line="240" w:lineRule="auto"/>
              <w:contextualSpacing/>
              <w:rPr>
                <w:rFonts w:eastAsia="Calibri" w:cstheme="minorHAnsi"/>
                <w:sz w:val="20"/>
                <w:szCs w:val="20"/>
              </w:rPr>
            </w:pPr>
            <w:r w:rsidRPr="00D04DA2">
              <w:rPr>
                <w:rFonts w:eastAsia="Calibri" w:cstheme="minorHAnsi"/>
                <w:sz w:val="20"/>
                <w:szCs w:val="20"/>
              </w:rPr>
              <w:t>Value</w:t>
            </w:r>
            <w:r w:rsidR="003E3261" w:rsidRPr="00D04DA2">
              <w:rPr>
                <w:rFonts w:eastAsia="Calibri" w:cstheme="minorHAnsi"/>
                <w:sz w:val="20"/>
                <w:szCs w:val="20"/>
              </w:rPr>
              <w:t xml:space="preserve"> of 0-1</w:t>
            </w:r>
            <w:r w:rsidR="698F5655" w:rsidRPr="00D04DA2">
              <w:rPr>
                <w:rFonts w:eastAsia="Calibri" w:cstheme="minorHAnsi"/>
                <w:sz w:val="20"/>
                <w:szCs w:val="20"/>
              </w:rPr>
              <w:t xml:space="preserve"> </w:t>
            </w:r>
            <w:r w:rsidR="003E3261" w:rsidRPr="00D04DA2">
              <w:rPr>
                <w:rFonts w:eastAsia="Calibri" w:cstheme="minorHAnsi"/>
                <w:sz w:val="20"/>
                <w:szCs w:val="20"/>
              </w:rPr>
              <w:t>(</w:t>
            </w:r>
            <w:r w:rsidR="00601821" w:rsidRPr="00D04DA2">
              <w:rPr>
                <w:rFonts w:eastAsia="Calibri" w:cstheme="minorHAnsi"/>
                <w:sz w:val="20"/>
                <w:szCs w:val="20"/>
              </w:rPr>
              <w:t xml:space="preserve">where </w:t>
            </w:r>
            <w:r w:rsidR="698F5655" w:rsidRPr="00D04DA2">
              <w:rPr>
                <w:rFonts w:eastAsia="Calibri" w:cstheme="minorHAnsi"/>
                <w:sz w:val="20"/>
                <w:szCs w:val="20"/>
              </w:rPr>
              <w:t xml:space="preserve">1 </w:t>
            </w:r>
            <w:r w:rsidR="00601821" w:rsidRPr="00D04DA2">
              <w:rPr>
                <w:rFonts w:eastAsia="Calibri" w:cstheme="minorHAnsi"/>
                <w:sz w:val="20"/>
                <w:szCs w:val="20"/>
              </w:rPr>
              <w:t>indicates</w:t>
            </w:r>
            <w:r w:rsidR="004F2150" w:rsidRPr="00D04DA2">
              <w:rPr>
                <w:rFonts w:eastAsia="Calibri" w:cstheme="minorHAnsi"/>
                <w:sz w:val="20"/>
                <w:szCs w:val="20"/>
              </w:rPr>
              <w:t xml:space="preserve"> the</w:t>
            </w:r>
            <w:r w:rsidR="698F5655" w:rsidRPr="00D04DA2">
              <w:rPr>
                <w:rFonts w:eastAsia="Calibri" w:cstheme="minorHAnsi"/>
                <w:sz w:val="20"/>
                <w:szCs w:val="20"/>
              </w:rPr>
              <w:t xml:space="preserve"> database exists in a </w:t>
            </w:r>
            <w:r w:rsidR="126CB493" w:rsidRPr="00D04DA2">
              <w:rPr>
                <w:rFonts w:eastAsia="Calibri" w:cstheme="minorHAnsi"/>
                <w:sz w:val="20"/>
                <w:szCs w:val="20"/>
              </w:rPr>
              <w:t>digitized</w:t>
            </w:r>
            <w:r w:rsidR="698F5655" w:rsidRPr="00D04DA2">
              <w:rPr>
                <w:rFonts w:eastAsia="Calibri" w:cstheme="minorHAnsi"/>
                <w:sz w:val="20"/>
                <w:szCs w:val="20"/>
              </w:rPr>
              <w:t xml:space="preserve"> format; 0 </w:t>
            </w:r>
            <w:r w:rsidR="004F2150" w:rsidRPr="00D04DA2">
              <w:rPr>
                <w:rFonts w:eastAsia="Calibri" w:cstheme="minorHAnsi"/>
                <w:sz w:val="20"/>
                <w:szCs w:val="20"/>
              </w:rPr>
              <w:t xml:space="preserve">indicates </w:t>
            </w:r>
            <w:r w:rsidR="698F5655" w:rsidRPr="00D04DA2">
              <w:rPr>
                <w:rFonts w:eastAsia="Calibri" w:cstheme="minorHAnsi"/>
                <w:sz w:val="20"/>
                <w:szCs w:val="20"/>
              </w:rPr>
              <w:lastRenderedPageBreak/>
              <w:t>ot</w:t>
            </w:r>
            <w:r w:rsidR="72E718BC" w:rsidRPr="00D04DA2">
              <w:rPr>
                <w:rFonts w:eastAsia="Calibri" w:cstheme="minorHAnsi"/>
                <w:sz w:val="20"/>
                <w:szCs w:val="20"/>
              </w:rPr>
              <w:t>herwise</w:t>
            </w:r>
            <w:r w:rsidR="003E3261" w:rsidRPr="00D04DA2">
              <w:rPr>
                <w:rFonts w:eastAsia="Calibri" w:cstheme="minorHAnsi"/>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52908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World Bank Group</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04805016"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C929DE" w14:textId="77777777" w:rsidR="00920ABD"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Global ID4D Dataset, compiled by the World Bank Group’s Identification for Development (ID4D) initiative, provides a global estimate for the number of individuals without proof of legal identity.</w:t>
            </w:r>
          </w:p>
          <w:p w14:paraId="021166FD" w14:textId="77777777" w:rsidR="00920ABD" w:rsidRPr="00D04DA2" w:rsidRDefault="00920ABD" w:rsidP="00D04DA2">
            <w:pPr>
              <w:spacing w:after="0" w:line="240" w:lineRule="auto"/>
              <w:contextualSpacing/>
              <w:rPr>
                <w:rFonts w:eastAsia="Calibri" w:cstheme="minorHAnsi"/>
                <w:color w:val="000000" w:themeColor="text1"/>
                <w:sz w:val="20"/>
                <w:szCs w:val="20"/>
              </w:rPr>
            </w:pPr>
          </w:p>
          <w:p w14:paraId="498D0DD2" w14:textId="4F07339B" w:rsidR="00E5474F" w:rsidRPr="00D04DA2" w:rsidRDefault="00920ABD"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d</w:t>
            </w:r>
            <w:r w:rsidR="00E5474F" w:rsidRPr="00D04DA2">
              <w:rPr>
                <w:rFonts w:eastAsia="Calibri" w:cstheme="minorHAnsi"/>
                <w:color w:val="000000" w:themeColor="text1"/>
                <w:sz w:val="20"/>
                <w:szCs w:val="20"/>
              </w:rPr>
              <w:t>ata include:</w:t>
            </w:r>
          </w:p>
          <w:p w14:paraId="261E760E" w14:textId="77777777" w:rsidR="00650860" w:rsidRPr="00D04DA2" w:rsidRDefault="00E5474F" w:rsidP="00D04DA2">
            <w:pPr>
              <w:pStyle w:val="ListParagraph"/>
              <w:numPr>
                <w:ilvl w:val="0"/>
                <w:numId w:val="1"/>
              </w:numPr>
              <w:spacing w:after="0" w:line="240" w:lineRule="auto"/>
              <w:rPr>
                <w:rFonts w:cstheme="minorHAnsi"/>
                <w:sz w:val="20"/>
                <w:szCs w:val="20"/>
              </w:rPr>
            </w:pPr>
            <w:r w:rsidRPr="00D04DA2">
              <w:rPr>
                <w:rFonts w:eastAsia="Calibri" w:cstheme="minorHAnsi"/>
                <w:color w:val="000000" w:themeColor="text1"/>
                <w:sz w:val="20"/>
                <w:szCs w:val="20"/>
              </w:rPr>
              <w:t>Quantitative data on the number of individuals without access to proof of legal identity split by country, region, and income level</w:t>
            </w:r>
            <w:r w:rsidR="007650C2" w:rsidRPr="00D04DA2">
              <w:rPr>
                <w:rFonts w:eastAsia="Calibri" w:cstheme="minorHAnsi"/>
                <w:color w:val="000000" w:themeColor="text1"/>
                <w:sz w:val="20"/>
                <w:szCs w:val="20"/>
              </w:rPr>
              <w:t>.</w:t>
            </w:r>
          </w:p>
          <w:p w14:paraId="4F15A728" w14:textId="054794A7" w:rsidR="00E5474F" w:rsidRPr="00D04DA2" w:rsidRDefault="00E5474F" w:rsidP="00D04DA2">
            <w:pPr>
              <w:pStyle w:val="ListParagraph"/>
              <w:numPr>
                <w:ilvl w:val="0"/>
                <w:numId w:val="1"/>
              </w:numPr>
              <w:spacing w:after="0" w:line="240" w:lineRule="auto"/>
              <w:rPr>
                <w:rFonts w:cstheme="minorHAnsi"/>
                <w:sz w:val="20"/>
                <w:szCs w:val="20"/>
              </w:rPr>
            </w:pPr>
            <w:r w:rsidRPr="00D04DA2">
              <w:rPr>
                <w:rFonts w:eastAsia="Calibri" w:cstheme="minorHAnsi"/>
                <w:color w:val="000000" w:themeColor="text1"/>
                <w:sz w:val="20"/>
                <w:szCs w:val="20"/>
              </w:rPr>
              <w:t xml:space="preserve">Qualitative data on the entities charged with identification &amp; civil registration (CR); the status of </w:t>
            </w:r>
            <w:r w:rsidRPr="00D04DA2">
              <w:rPr>
                <w:rFonts w:eastAsia="Calibri" w:cstheme="minorHAnsi"/>
                <w:color w:val="000000" w:themeColor="text1"/>
                <w:sz w:val="20"/>
                <w:szCs w:val="20"/>
              </w:rPr>
              <w:lastRenderedPageBreak/>
              <w:t>enabling legal and regulatory frameworks; and ICT, e-government, and poverty indices to allow for additional analysis.</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052EDE2B" w14:textId="12097BAA" w:rsidR="00E5474F" w:rsidRPr="00D04DA2" w:rsidRDefault="009A499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lastRenderedPageBreak/>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BA8792" w14:textId="6554E70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EF9DF0" w14:textId="6DEF2871" w:rsidR="00E5474F" w:rsidRPr="00D04DA2" w:rsidRDefault="00E5474F" w:rsidP="00D04DA2">
            <w:pPr>
              <w:spacing w:after="0" w:line="240" w:lineRule="auto"/>
              <w:contextualSpacing/>
              <w:rPr>
                <w:color w:val="000000"/>
                <w:sz w:val="20"/>
                <w:szCs w:val="20"/>
              </w:rPr>
            </w:pPr>
            <w:r w:rsidRPr="7D1B599A">
              <w:rPr>
                <w:color w:val="000000" w:themeColor="text1"/>
                <w:sz w:val="20"/>
                <w:szCs w:val="20"/>
              </w:rPr>
              <w:t>19</w:t>
            </w:r>
            <w:r w:rsidR="5EDD2C57" w:rsidRPr="7D1B599A">
              <w:rPr>
                <w:color w:val="000000" w:themeColor="text1"/>
                <w:sz w:val="20"/>
                <w:szCs w:val="20"/>
              </w:rPr>
              <w:t>7</w:t>
            </w:r>
            <w:r w:rsidRPr="7D1B599A">
              <w:rPr>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ED3523" w14:textId="200CB322" w:rsidR="00E5474F" w:rsidRPr="00D04DA2" w:rsidRDefault="22FF5270" w:rsidP="00D04DA2">
            <w:pPr>
              <w:spacing w:after="0" w:line="240" w:lineRule="auto"/>
              <w:contextualSpacing/>
              <w:rPr>
                <w:color w:val="000000" w:themeColor="text1"/>
                <w:sz w:val="20"/>
                <w:szCs w:val="20"/>
              </w:rPr>
            </w:pPr>
            <w:r w:rsidRPr="3A284AA3">
              <w:rPr>
                <w:color w:val="000000" w:themeColor="text1"/>
                <w:sz w:val="20"/>
                <w:szCs w:val="20"/>
              </w:rPr>
              <w:t>27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9929BB" w14:textId="767B7E56" w:rsidR="00A72741" w:rsidRPr="00D04DA2" w:rsidRDefault="7921E94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Annual</w:t>
            </w:r>
            <w:r w:rsidR="007650C2" w:rsidRPr="00D04DA2">
              <w:rPr>
                <w:rFonts w:cstheme="minorHAnsi"/>
                <w:color w:val="000000" w:themeColor="text1"/>
                <w:sz w:val="20"/>
                <w:szCs w:val="20"/>
              </w:rPr>
              <w:t>.</w:t>
            </w:r>
          </w:p>
          <w:p w14:paraId="0036D124" w14:textId="77777777" w:rsidR="00682F9F" w:rsidRPr="00D04DA2" w:rsidRDefault="00682F9F" w:rsidP="00D04DA2">
            <w:pPr>
              <w:spacing w:after="0" w:line="240" w:lineRule="auto"/>
              <w:contextualSpacing/>
              <w:rPr>
                <w:rFonts w:cstheme="minorHAnsi"/>
                <w:color w:val="000000" w:themeColor="text1"/>
                <w:sz w:val="20"/>
                <w:szCs w:val="20"/>
              </w:rPr>
            </w:pPr>
          </w:p>
          <w:p w14:paraId="058AFF58" w14:textId="14817604" w:rsidR="00E5474F" w:rsidRPr="00D04DA2" w:rsidRDefault="08030B7E"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w:t>
            </w:r>
            <w:r w:rsidR="6B841F03" w:rsidRPr="00D04DA2">
              <w:rPr>
                <w:rFonts w:cstheme="minorHAnsi"/>
                <w:color w:val="000000" w:themeColor="text1"/>
                <w:sz w:val="20"/>
                <w:szCs w:val="20"/>
              </w:rPr>
              <w:t xml:space="preserve"> is published </w:t>
            </w:r>
            <w:r w:rsidRPr="00D04DA2">
              <w:rPr>
                <w:rFonts w:cstheme="minorHAnsi"/>
                <w:color w:val="000000" w:themeColor="text1"/>
                <w:sz w:val="20"/>
                <w:szCs w:val="20"/>
              </w:rPr>
              <w:t>for 2017-2018.</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654F1282" w14:textId="71BE4B6F" w:rsidR="00E5474F" w:rsidRPr="00D04DA2" w:rsidRDefault="00FA1285" w:rsidP="00D04DA2">
            <w:pPr>
              <w:spacing w:after="0" w:line="240" w:lineRule="auto"/>
              <w:contextualSpacing/>
              <w:rPr>
                <w:rFonts w:eastAsia="Calibri" w:cstheme="minorHAnsi"/>
                <w:sz w:val="20"/>
                <w:szCs w:val="20"/>
              </w:rPr>
            </w:pPr>
            <w:hyperlink r:id="rId24" w:history="1">
              <w:r w:rsidR="007C3496" w:rsidRPr="00D04DA2">
                <w:rPr>
                  <w:rStyle w:val="Hyperlink"/>
                  <w:rFonts w:eastAsia="Calibri" w:cstheme="minorHAnsi"/>
                  <w:sz w:val="20"/>
                  <w:szCs w:val="20"/>
                </w:rPr>
                <w:t>https://id4d.worldbank.org/global-dataset</w:t>
              </w:r>
            </w:hyperlink>
          </w:p>
          <w:p w14:paraId="12206C54" w14:textId="07DB9027" w:rsidR="00E5474F" w:rsidRPr="00D04DA2" w:rsidRDefault="00E5474F" w:rsidP="00D04DA2">
            <w:pPr>
              <w:spacing w:after="0" w:line="240" w:lineRule="auto"/>
              <w:contextualSpacing/>
              <w:rPr>
                <w:rFonts w:eastAsia="Calibri" w:cstheme="minorHAnsi"/>
                <w:color w:val="0563C1"/>
                <w:sz w:val="20"/>
                <w:szCs w:val="20"/>
                <w:u w:val="single"/>
              </w:rPr>
            </w:pPr>
          </w:p>
          <w:p w14:paraId="40728FE3" w14:textId="74FC52B9" w:rsidR="00E5474F" w:rsidRPr="00D04DA2" w:rsidRDefault="13E9E8BB" w:rsidP="00D04DA2">
            <w:pPr>
              <w:spacing w:after="0" w:line="240" w:lineRule="auto"/>
              <w:contextualSpacing/>
              <w:rPr>
                <w:rFonts w:eastAsia="Calibri" w:cstheme="minorHAnsi"/>
                <w:color w:val="0563C1"/>
                <w:sz w:val="20"/>
                <w:szCs w:val="20"/>
                <w:u w:val="single"/>
              </w:rPr>
            </w:pPr>
            <w:r w:rsidRPr="00D04DA2">
              <w:rPr>
                <w:rFonts w:eastAsia="Calibri" w:cstheme="minorHAnsi"/>
                <w:color w:val="0563C1"/>
                <w:sz w:val="20"/>
                <w:szCs w:val="20"/>
                <w:u w:val="single"/>
              </w:rPr>
              <w:t>https://datacatalog.worldbank.org/int/search/dataset/0040787</w:t>
            </w:r>
          </w:p>
        </w:tc>
      </w:tr>
      <w:tr w:rsidR="00912FA5" w:rsidRPr="00D04DA2" w14:paraId="39D25ED8"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4CB8649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18</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58F8656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Registering Property</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55F043"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Operating a business</w:t>
            </w:r>
          </w:p>
          <w:p w14:paraId="17EF12C2" w14:textId="77777777" w:rsidR="00E5474F" w:rsidRPr="00D04DA2" w:rsidRDefault="00E5474F" w:rsidP="00D04DA2">
            <w:pPr>
              <w:spacing w:after="0" w:line="240" w:lineRule="auto"/>
              <w:contextualSpacing/>
              <w:rPr>
                <w:rFonts w:cstheme="minorHAnsi"/>
                <w:color w:val="000000"/>
                <w:sz w:val="20"/>
                <w:szCs w:val="20"/>
              </w:rPr>
            </w:pP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49AF5CD7" w14:textId="5B160537" w:rsidR="00E5474F" w:rsidRPr="00D04DA2" w:rsidRDefault="220FD69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Judicial independence score</w:t>
            </w:r>
            <w:r w:rsidR="00F2724B">
              <w:rPr>
                <w:rFonts w:cstheme="minorHAnsi"/>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897F11" w14:textId="0A2F8A8E" w:rsidR="00E5474F" w:rsidRPr="00D04DA2" w:rsidRDefault="508B8909" w:rsidP="00D04DA2">
            <w:pPr>
              <w:spacing w:after="0" w:line="240" w:lineRule="auto"/>
              <w:contextualSpacing/>
              <w:rPr>
                <w:rFonts w:eastAsia="Calibri" w:cstheme="minorHAnsi"/>
                <w:sz w:val="20"/>
                <w:szCs w:val="20"/>
              </w:rPr>
            </w:pPr>
            <w:r w:rsidRPr="00D04DA2">
              <w:rPr>
                <w:rFonts w:eastAsia="Calibri" w:cstheme="minorHAnsi"/>
                <w:sz w:val="20"/>
                <w:szCs w:val="20"/>
              </w:rPr>
              <w:t xml:space="preserve">Score </w:t>
            </w:r>
            <w:r w:rsidR="002F283A" w:rsidRPr="00D04DA2">
              <w:rPr>
                <w:rFonts w:eastAsia="Calibri" w:cstheme="minorHAnsi"/>
                <w:sz w:val="20"/>
                <w:szCs w:val="20"/>
              </w:rPr>
              <w:t xml:space="preserve">of </w:t>
            </w:r>
            <w:r w:rsidRPr="00D04DA2">
              <w:rPr>
                <w:rFonts w:eastAsia="Calibri" w:cstheme="minorHAnsi"/>
                <w:sz w:val="20"/>
                <w:szCs w:val="20"/>
              </w:rPr>
              <w:t>0-10 (</w:t>
            </w:r>
            <w:r w:rsidR="00847C59" w:rsidRPr="00D04DA2">
              <w:rPr>
                <w:rFonts w:eastAsia="Calibri" w:cstheme="minorHAnsi"/>
                <w:sz w:val="20"/>
                <w:szCs w:val="20"/>
              </w:rPr>
              <w:t xml:space="preserve">where </w:t>
            </w:r>
            <w:r w:rsidRPr="00D04DA2">
              <w:rPr>
                <w:rFonts w:eastAsia="Calibri" w:cstheme="minorHAnsi"/>
                <w:sz w:val="20"/>
                <w:szCs w:val="20"/>
              </w:rPr>
              <w:t xml:space="preserve">0 </w:t>
            </w:r>
            <w:r w:rsidR="004E3AA3" w:rsidRPr="00D04DA2">
              <w:rPr>
                <w:rFonts w:eastAsia="Calibri" w:cstheme="minorHAnsi"/>
                <w:sz w:val="20"/>
                <w:szCs w:val="20"/>
              </w:rPr>
              <w:t>means</w:t>
            </w:r>
            <w:r w:rsidRPr="00D04DA2">
              <w:rPr>
                <w:rFonts w:eastAsia="Calibri" w:cstheme="minorHAnsi"/>
                <w:sz w:val="20"/>
                <w:szCs w:val="20"/>
              </w:rPr>
              <w:t xml:space="preserve"> heavily influenced</w:t>
            </w:r>
            <w:r w:rsidR="007650C2" w:rsidRPr="00D04DA2">
              <w:rPr>
                <w:rFonts w:eastAsia="Calibri" w:cstheme="minorHAnsi"/>
                <w:sz w:val="20"/>
                <w:szCs w:val="20"/>
              </w:rPr>
              <w:t>;</w:t>
            </w:r>
            <w:r w:rsidRPr="00D04DA2">
              <w:rPr>
                <w:rFonts w:eastAsia="Calibri" w:cstheme="minorHAnsi"/>
                <w:sz w:val="20"/>
                <w:szCs w:val="20"/>
              </w:rPr>
              <w:t xml:space="preserve"> 10 </w:t>
            </w:r>
            <w:r w:rsidR="004E3AA3" w:rsidRPr="00D04DA2">
              <w:rPr>
                <w:rFonts w:eastAsia="Calibri" w:cstheme="minorHAnsi"/>
                <w:sz w:val="20"/>
                <w:szCs w:val="20"/>
              </w:rPr>
              <w:t>means</w:t>
            </w:r>
            <w:r w:rsidR="00682F9F" w:rsidRPr="00D04DA2">
              <w:rPr>
                <w:rFonts w:eastAsia="Calibri" w:cstheme="minorHAnsi"/>
                <w:sz w:val="20"/>
                <w:szCs w:val="20"/>
              </w:rPr>
              <w:t xml:space="preserve"> </w:t>
            </w:r>
            <w:r w:rsidRPr="00D04DA2">
              <w:rPr>
                <w:rFonts w:eastAsia="Calibri" w:cstheme="minorHAnsi"/>
                <w:sz w:val="20"/>
                <w:szCs w:val="20"/>
              </w:rPr>
              <w:t>entirely indepe</w:t>
            </w:r>
            <w:r w:rsidR="11025FDF" w:rsidRPr="00D04DA2">
              <w:rPr>
                <w:rFonts w:eastAsia="Calibri" w:cstheme="minorHAnsi"/>
                <w:sz w:val="20"/>
                <w:szCs w:val="20"/>
              </w:rPr>
              <w:t>ndent)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DC9CA6" w14:textId="1537B06D" w:rsidR="00E5474F" w:rsidRPr="00D04DA2" w:rsidRDefault="58D31DFB"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 xml:space="preserve">The Fraser Institute </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4A724E3E" w14:textId="4BB72C96"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CEA8C8" w14:textId="14780058" w:rsidR="00D65B2B" w:rsidRPr="00D04DA2" w:rsidRDefault="4719B604"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 xml:space="preserve">The </w:t>
            </w:r>
            <w:r w:rsidR="05645439"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Judicial </w:t>
            </w:r>
            <w:r w:rsidR="782E7FB7" w:rsidRPr="00D04DA2">
              <w:rPr>
                <w:rFonts w:eastAsia="Calibri" w:cstheme="minorHAnsi"/>
                <w:color w:val="000000" w:themeColor="text1"/>
                <w:sz w:val="20"/>
                <w:szCs w:val="20"/>
              </w:rPr>
              <w:t>i</w:t>
            </w:r>
            <w:r w:rsidRPr="00D04DA2">
              <w:rPr>
                <w:rFonts w:eastAsia="Calibri" w:cstheme="minorHAnsi"/>
                <w:color w:val="000000" w:themeColor="text1"/>
                <w:sz w:val="20"/>
                <w:szCs w:val="20"/>
              </w:rPr>
              <w:t>ndependence score</w:t>
            </w:r>
            <w:r w:rsidR="3AF10134"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 is a sub-component of a component “Legal systems and property rights score</w:t>
            </w:r>
            <w:r w:rsidR="7EA020EE"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 of the </w:t>
            </w:r>
            <w:r w:rsidR="1FCFC19E"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Economic Freedom </w:t>
            </w:r>
            <w:r w:rsidR="4374EAF1" w:rsidRPr="00D04DA2">
              <w:rPr>
                <w:rFonts w:eastAsia="Calibri" w:cstheme="minorHAnsi"/>
                <w:color w:val="000000" w:themeColor="text1"/>
                <w:sz w:val="20"/>
                <w:szCs w:val="20"/>
              </w:rPr>
              <w:t>Score</w:t>
            </w:r>
            <w:r w:rsidR="7ADF5FF7" w:rsidRPr="00D04DA2">
              <w:rPr>
                <w:rFonts w:eastAsia="Calibri" w:cstheme="minorHAnsi"/>
                <w:color w:val="000000" w:themeColor="text1"/>
                <w:sz w:val="20"/>
                <w:szCs w:val="20"/>
              </w:rPr>
              <w:t>.</w:t>
            </w:r>
            <w:r w:rsidR="197B666B" w:rsidRPr="00D04DA2">
              <w:rPr>
                <w:rFonts w:eastAsia="Calibri" w:cstheme="minorHAnsi"/>
                <w:color w:val="000000" w:themeColor="text1"/>
                <w:sz w:val="20"/>
                <w:szCs w:val="20"/>
              </w:rPr>
              <w:t>”</w:t>
            </w:r>
            <w:r w:rsidRPr="00D04DA2">
              <w:rPr>
                <w:rFonts w:eastAsia="Calibri" w:cstheme="minorHAnsi"/>
                <w:color w:val="000000" w:themeColor="text1"/>
                <w:sz w:val="20"/>
                <w:szCs w:val="20"/>
              </w:rPr>
              <w:t xml:space="preserve"> </w:t>
            </w:r>
          </w:p>
          <w:p w14:paraId="0B958B64" w14:textId="65AF54A3" w:rsidR="32666D18" w:rsidRPr="00D04DA2" w:rsidRDefault="32666D18" w:rsidP="00D04DA2">
            <w:pPr>
              <w:spacing w:after="0" w:line="240" w:lineRule="auto"/>
              <w:contextualSpacing/>
              <w:rPr>
                <w:rFonts w:eastAsia="Calibri" w:cstheme="minorHAnsi"/>
                <w:sz w:val="20"/>
                <w:szCs w:val="20"/>
              </w:rPr>
            </w:pPr>
          </w:p>
          <w:p w14:paraId="651C0AC2" w14:textId="6E34AF34" w:rsidR="00587975" w:rsidRPr="00D04DA2" w:rsidRDefault="01839145" w:rsidP="00D04DA2">
            <w:pPr>
              <w:spacing w:after="0" w:line="240" w:lineRule="auto"/>
              <w:contextualSpacing/>
              <w:rPr>
                <w:rFonts w:eastAsia="Calibri" w:cstheme="minorHAnsi"/>
                <w:sz w:val="20"/>
                <w:szCs w:val="20"/>
              </w:rPr>
            </w:pPr>
            <w:r w:rsidRPr="00D04DA2">
              <w:rPr>
                <w:rFonts w:eastAsia="Calibri" w:cstheme="minorHAnsi"/>
                <w:sz w:val="20"/>
                <w:szCs w:val="20"/>
              </w:rPr>
              <w:t xml:space="preserve">This component is from the Global Competitiveness Report question: “Is the judiciary in your country independent from political influences of members of government, citizens, or firms? No—heavily influenced (= 1) or Yes—entirely independent (= 7)”. The question’s wording has varied slightly over the years. All variables from the Global Competitiveness Report were converted from the original 1-to-7 scale to a 0-to-10 scale using this formula: </w:t>
            </w:r>
            <w:proofErr w:type="spellStart"/>
            <w:r w:rsidRPr="00D04DA2">
              <w:rPr>
                <w:rFonts w:eastAsia="Calibri" w:cstheme="minorHAnsi"/>
                <w:sz w:val="20"/>
                <w:szCs w:val="20"/>
              </w:rPr>
              <w:t>EFWi</w:t>
            </w:r>
            <w:proofErr w:type="spellEnd"/>
            <w:r w:rsidRPr="00D04DA2">
              <w:rPr>
                <w:rFonts w:eastAsia="Calibri" w:cstheme="minorHAnsi"/>
                <w:sz w:val="20"/>
                <w:szCs w:val="20"/>
              </w:rPr>
              <w:t xml:space="preserve"> = ((</w:t>
            </w:r>
            <w:proofErr w:type="spellStart"/>
            <w:r w:rsidRPr="00D04DA2">
              <w:rPr>
                <w:rFonts w:eastAsia="Calibri" w:cstheme="minorHAnsi"/>
                <w:sz w:val="20"/>
                <w:szCs w:val="20"/>
              </w:rPr>
              <w:t>GCRi</w:t>
            </w:r>
            <w:proofErr w:type="spellEnd"/>
            <w:r w:rsidRPr="00D04DA2">
              <w:rPr>
                <w:rFonts w:eastAsia="Calibri" w:cstheme="minorHAnsi"/>
                <w:sz w:val="20"/>
                <w:szCs w:val="20"/>
              </w:rPr>
              <w:t>− 1) ÷ 6) × 10.</w:t>
            </w:r>
          </w:p>
          <w:p w14:paraId="0561C9F3" w14:textId="13F074DA" w:rsidR="00E5474F" w:rsidRPr="00D04DA2" w:rsidRDefault="00E5474F" w:rsidP="00D04DA2">
            <w:pPr>
              <w:spacing w:after="0" w:line="240" w:lineRule="auto"/>
              <w:contextualSpacing/>
              <w:rPr>
                <w:rFonts w:eastAsia="Calibri" w:cstheme="minorHAnsi"/>
                <w:sz w:val="20"/>
                <w:szCs w:val="20"/>
              </w:rPr>
            </w:pPr>
          </w:p>
          <w:p w14:paraId="43ED1DCE" w14:textId="2B097EE9" w:rsidR="00E5474F" w:rsidRPr="00D04DA2" w:rsidRDefault="39C02477" w:rsidP="00D04DA2">
            <w:pPr>
              <w:spacing w:after="0" w:line="240" w:lineRule="auto"/>
              <w:contextualSpacing/>
              <w:rPr>
                <w:rFonts w:eastAsia="Calibri" w:cstheme="minorHAnsi"/>
                <w:sz w:val="20"/>
                <w:szCs w:val="20"/>
              </w:rPr>
            </w:pPr>
            <w:r w:rsidRPr="00D04DA2">
              <w:rPr>
                <w:rFonts w:eastAsia="Calibri" w:cstheme="minorHAnsi"/>
                <w:sz w:val="20"/>
                <w:szCs w:val="20"/>
              </w:rPr>
              <w:t>Source: World Economic Forum, Global Competitiveness Report. In recent years, the most recently available data from the online database, which provides a two-year moving average, have been used for this component and all other components based on the Global Competitiveness Report.</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1B74BDD2" w14:textId="16614EC9" w:rsidR="00E5474F" w:rsidRPr="00D04DA2" w:rsidRDefault="39B1954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Policy </w:t>
            </w:r>
            <w:r w:rsidR="002F283A" w:rsidRPr="00D04DA2">
              <w:rPr>
                <w:rFonts w:cstheme="minorHAnsi"/>
                <w:color w:val="000000" w:themeColor="text1"/>
                <w:sz w:val="20"/>
                <w:szCs w:val="20"/>
              </w:rPr>
              <w:t>m</w:t>
            </w:r>
            <w:r w:rsidRPr="00D04DA2">
              <w:rPr>
                <w:rFonts w:cstheme="minorHAnsi"/>
                <w:color w:val="000000" w:themeColor="text1"/>
                <w:sz w:val="20"/>
                <w:szCs w:val="20"/>
              </w:rPr>
              <w:t>etric</w:t>
            </w:r>
            <w:r w:rsidR="004019E6"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9D31A3" w14:textId="25D5F069"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6373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165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156C7B" w14:textId="05FFB5EE" w:rsidR="00E5474F" w:rsidRPr="00D04DA2" w:rsidRDefault="69B84947" w:rsidP="00D04DA2">
            <w:pPr>
              <w:spacing w:after="0" w:line="240" w:lineRule="auto"/>
              <w:contextualSpacing/>
              <w:rPr>
                <w:rFonts w:eastAsia="Calibri"/>
                <w:color w:val="000000" w:themeColor="text1"/>
                <w:sz w:val="20"/>
                <w:szCs w:val="20"/>
              </w:rPr>
            </w:pPr>
            <w:r w:rsidRPr="7B1D6ED9">
              <w:rPr>
                <w:rFonts w:eastAsia="Calibri"/>
                <w:color w:val="000000" w:themeColor="text1"/>
                <w:sz w:val="20"/>
                <w:szCs w:val="20"/>
              </w:rPr>
              <w:t>23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E3855F" w14:textId="77777777" w:rsidR="009D542B" w:rsidRPr="00D04DA2" w:rsidRDefault="001947B7"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E</w:t>
            </w:r>
            <w:r w:rsidR="00E5474F" w:rsidRPr="00D04DA2">
              <w:rPr>
                <w:rFonts w:eastAsia="Calibri" w:cstheme="minorHAnsi"/>
                <w:color w:val="000000" w:themeColor="text1"/>
                <w:sz w:val="20"/>
                <w:szCs w:val="20"/>
              </w:rPr>
              <w:t>very 5 years</w:t>
            </w:r>
            <w:r w:rsidRPr="00D04DA2">
              <w:rPr>
                <w:rFonts w:eastAsia="Calibri" w:cstheme="minorHAnsi"/>
                <w:color w:val="000000" w:themeColor="text1"/>
                <w:sz w:val="20"/>
                <w:szCs w:val="20"/>
              </w:rPr>
              <w:t xml:space="preserve"> </w:t>
            </w:r>
            <w:r w:rsidR="00DA114D" w:rsidRPr="00D04DA2">
              <w:rPr>
                <w:rFonts w:eastAsia="Calibri" w:cstheme="minorHAnsi"/>
                <w:color w:val="000000" w:themeColor="text1"/>
                <w:sz w:val="20"/>
                <w:szCs w:val="20"/>
              </w:rPr>
              <w:t>f</w:t>
            </w:r>
            <w:r w:rsidRPr="00D04DA2">
              <w:rPr>
                <w:rFonts w:eastAsia="Calibri" w:cstheme="minorHAnsi"/>
                <w:color w:val="000000" w:themeColor="text1"/>
                <w:sz w:val="20"/>
                <w:szCs w:val="20"/>
              </w:rPr>
              <w:t>rom 1970 to 2000</w:t>
            </w:r>
            <w:r w:rsidR="00E5474F" w:rsidRPr="00D04DA2">
              <w:rPr>
                <w:rFonts w:eastAsia="Calibri" w:cstheme="minorHAnsi"/>
                <w:color w:val="000000" w:themeColor="text1"/>
                <w:sz w:val="20"/>
                <w:szCs w:val="20"/>
              </w:rPr>
              <w:t>.</w:t>
            </w:r>
          </w:p>
          <w:p w14:paraId="42CF74E3" w14:textId="77777777" w:rsidR="009D542B" w:rsidRPr="00D04DA2" w:rsidRDefault="009D542B" w:rsidP="00D04DA2">
            <w:pPr>
              <w:spacing w:after="0" w:line="240" w:lineRule="auto"/>
              <w:contextualSpacing/>
              <w:rPr>
                <w:rFonts w:eastAsia="Calibri" w:cstheme="minorHAnsi"/>
                <w:color w:val="000000" w:themeColor="text1"/>
                <w:sz w:val="20"/>
                <w:szCs w:val="20"/>
              </w:rPr>
            </w:pPr>
          </w:p>
          <w:p w14:paraId="6700521A" w14:textId="3E80554B" w:rsidR="00E5474F" w:rsidRPr="00D04DA2" w:rsidRDefault="00DA114D"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A</w:t>
            </w:r>
            <w:r w:rsidR="00E5474F" w:rsidRPr="00D04DA2">
              <w:rPr>
                <w:rFonts w:eastAsia="Calibri" w:cstheme="minorHAnsi"/>
                <w:color w:val="000000" w:themeColor="text1"/>
                <w:sz w:val="20"/>
                <w:szCs w:val="20"/>
              </w:rPr>
              <w:t xml:space="preserve">nnual </w:t>
            </w:r>
            <w:r w:rsidRPr="00D04DA2">
              <w:rPr>
                <w:rFonts w:eastAsia="Calibri" w:cstheme="minorHAnsi"/>
                <w:color w:val="000000" w:themeColor="text1"/>
                <w:sz w:val="20"/>
                <w:szCs w:val="20"/>
              </w:rPr>
              <w:t>from</w:t>
            </w:r>
            <w:r w:rsidR="00E5474F" w:rsidRPr="00D04DA2">
              <w:rPr>
                <w:rFonts w:eastAsia="Calibri" w:cstheme="minorHAnsi"/>
                <w:color w:val="000000" w:themeColor="text1"/>
                <w:sz w:val="20"/>
                <w:szCs w:val="20"/>
              </w:rPr>
              <w:t xml:space="preserve"> </w:t>
            </w:r>
            <w:r w:rsidRPr="00D04DA2">
              <w:rPr>
                <w:rFonts w:eastAsia="Calibri" w:cstheme="minorHAnsi"/>
                <w:color w:val="000000" w:themeColor="text1"/>
                <w:sz w:val="20"/>
                <w:szCs w:val="20"/>
              </w:rPr>
              <w:t xml:space="preserve">2000 to </w:t>
            </w:r>
            <w:r w:rsidR="00E5474F" w:rsidRPr="00D04DA2">
              <w:rPr>
                <w:rFonts w:eastAsia="Calibri" w:cstheme="minorHAnsi"/>
                <w:color w:val="000000" w:themeColor="text1"/>
                <w:sz w:val="20"/>
                <w:szCs w:val="20"/>
              </w:rPr>
              <w:t>2019</w:t>
            </w:r>
            <w:r w:rsidR="009D542B" w:rsidRPr="00D04DA2">
              <w:rPr>
                <w:rFonts w:eastAsia="Calibri"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125AA0AA"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color w:val="0563C1"/>
                <w:sz w:val="20"/>
                <w:szCs w:val="20"/>
                <w:u w:val="single"/>
              </w:rPr>
              <w:t>https://www.fraserinstitute.org/economic-freedom/dataset?geozone=world&amp;year=2019&amp;page=dataset&amp;min-year=2&amp;max-year=0&amp;filter=1</w:t>
            </w:r>
          </w:p>
        </w:tc>
      </w:tr>
      <w:tr w:rsidR="00912FA5" w:rsidRPr="00D04DA2" w14:paraId="3B119E1B"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2F76C45D" w14:textId="68CFCC13" w:rsidR="14BCD324" w:rsidRPr="00D04DA2" w:rsidRDefault="206EC4D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19</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6AAABF32" w14:textId="77777777" w:rsidR="3E1D3F3F" w:rsidRPr="00D04DA2" w:rsidRDefault="3E1D3F3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Registering Property</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D11C49" w14:textId="77777777" w:rsidR="3E1D3F3F" w:rsidRPr="00D04DA2" w:rsidRDefault="3E1D3F3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Operating a business</w:t>
            </w:r>
          </w:p>
          <w:p w14:paraId="242A0A9C" w14:textId="77777777" w:rsidR="3E1D3F3F" w:rsidRPr="00D04DA2" w:rsidRDefault="3E1D3F3F" w:rsidP="00D04DA2">
            <w:pPr>
              <w:spacing w:after="0" w:line="240" w:lineRule="auto"/>
              <w:contextualSpacing/>
              <w:rPr>
                <w:rFonts w:cstheme="minorHAnsi"/>
                <w:color w:val="000000" w:themeColor="text1"/>
                <w:sz w:val="20"/>
                <w:szCs w:val="20"/>
              </w:rPr>
            </w:pP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21343AE6" w14:textId="76D307D6" w:rsidR="14BCD324" w:rsidRPr="00D04DA2" w:rsidRDefault="7D6F443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Impartial courts score</w:t>
            </w:r>
            <w:r w:rsidR="00F2724B">
              <w:rPr>
                <w:rFonts w:cstheme="minorHAnsi"/>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FBFA67" w14:textId="3DF8E5D1" w:rsidR="14BCD324" w:rsidRPr="00D04DA2" w:rsidRDefault="2AE7DF87" w:rsidP="00D04DA2">
            <w:pPr>
              <w:spacing w:after="0" w:line="240" w:lineRule="auto"/>
              <w:contextualSpacing/>
              <w:rPr>
                <w:rFonts w:eastAsia="Calibri" w:cstheme="minorHAnsi"/>
                <w:sz w:val="20"/>
                <w:szCs w:val="20"/>
              </w:rPr>
            </w:pPr>
            <w:r w:rsidRPr="00D04DA2">
              <w:rPr>
                <w:rFonts w:eastAsia="Calibri" w:cstheme="minorHAnsi"/>
                <w:sz w:val="20"/>
                <w:szCs w:val="20"/>
              </w:rPr>
              <w:t xml:space="preserve">Score </w:t>
            </w:r>
            <w:r w:rsidR="002F283A" w:rsidRPr="00D04DA2">
              <w:rPr>
                <w:rFonts w:eastAsia="Calibri" w:cstheme="minorHAnsi"/>
                <w:sz w:val="20"/>
                <w:szCs w:val="20"/>
              </w:rPr>
              <w:t xml:space="preserve">of </w:t>
            </w:r>
            <w:r w:rsidRPr="00D04DA2">
              <w:rPr>
                <w:rFonts w:eastAsia="Calibri" w:cstheme="minorHAnsi"/>
                <w:sz w:val="20"/>
                <w:szCs w:val="20"/>
              </w:rPr>
              <w:t>0-10 (</w:t>
            </w:r>
            <w:r w:rsidR="007A15B7" w:rsidRPr="00D04DA2">
              <w:rPr>
                <w:rFonts w:eastAsia="Calibri" w:cstheme="minorHAnsi"/>
                <w:sz w:val="20"/>
                <w:szCs w:val="20"/>
              </w:rPr>
              <w:t xml:space="preserve">where </w:t>
            </w:r>
            <w:r w:rsidR="77CCD314" w:rsidRPr="00D04DA2">
              <w:rPr>
                <w:rFonts w:eastAsia="Calibri" w:cstheme="minorHAnsi"/>
                <w:sz w:val="20"/>
                <w:szCs w:val="20"/>
              </w:rPr>
              <w:t>0</w:t>
            </w:r>
            <w:r w:rsidR="703626EF" w:rsidRPr="00D04DA2">
              <w:rPr>
                <w:rFonts w:eastAsia="Calibri" w:cstheme="minorHAnsi"/>
                <w:sz w:val="20"/>
                <w:szCs w:val="20"/>
              </w:rPr>
              <w:t xml:space="preserve"> </w:t>
            </w:r>
            <w:r w:rsidR="00372641" w:rsidRPr="00D04DA2">
              <w:rPr>
                <w:rFonts w:eastAsia="Calibri" w:cstheme="minorHAnsi"/>
                <w:sz w:val="20"/>
                <w:szCs w:val="20"/>
              </w:rPr>
              <w:t>means</w:t>
            </w:r>
            <w:r w:rsidR="703626EF" w:rsidRPr="00D04DA2">
              <w:rPr>
                <w:rFonts w:eastAsia="Calibri" w:cstheme="minorHAnsi"/>
                <w:sz w:val="20"/>
                <w:szCs w:val="20"/>
              </w:rPr>
              <w:t xml:space="preserve"> </w:t>
            </w:r>
            <w:r w:rsidR="00A10A1B" w:rsidRPr="00D04DA2">
              <w:rPr>
                <w:rFonts w:eastAsia="Calibri" w:cstheme="minorHAnsi"/>
                <w:sz w:val="20"/>
                <w:szCs w:val="20"/>
              </w:rPr>
              <w:t xml:space="preserve">inefficient and </w:t>
            </w:r>
            <w:r w:rsidR="11CD09D4" w:rsidRPr="00D04DA2">
              <w:rPr>
                <w:rFonts w:eastAsia="Calibri" w:cstheme="minorHAnsi"/>
                <w:sz w:val="20"/>
                <w:szCs w:val="20"/>
              </w:rPr>
              <w:t xml:space="preserve">subject to manipulation; </w:t>
            </w:r>
            <w:r w:rsidR="736036BA" w:rsidRPr="00D04DA2">
              <w:rPr>
                <w:rFonts w:eastAsia="Calibri" w:cstheme="minorHAnsi"/>
                <w:sz w:val="20"/>
                <w:szCs w:val="20"/>
              </w:rPr>
              <w:t xml:space="preserve">10 </w:t>
            </w:r>
            <w:r w:rsidR="005337B3" w:rsidRPr="00D04DA2">
              <w:rPr>
                <w:rFonts w:eastAsia="Calibri" w:cstheme="minorHAnsi"/>
                <w:sz w:val="20"/>
                <w:szCs w:val="20"/>
              </w:rPr>
              <w:t>means</w:t>
            </w:r>
            <w:r w:rsidR="00561582" w:rsidRPr="00D04DA2">
              <w:rPr>
                <w:rFonts w:eastAsia="Calibri" w:cstheme="minorHAnsi"/>
                <w:sz w:val="20"/>
                <w:szCs w:val="20"/>
              </w:rPr>
              <w:t xml:space="preserve"> </w:t>
            </w:r>
            <w:r w:rsidR="736036BA" w:rsidRPr="00D04DA2">
              <w:rPr>
                <w:rFonts w:eastAsia="Calibri" w:cstheme="minorHAnsi"/>
                <w:sz w:val="20"/>
                <w:szCs w:val="20"/>
              </w:rPr>
              <w:t>efficient and follows a clear, neutral process)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454D64" w14:textId="0CBDFD82" w:rsidR="14BCD324" w:rsidRPr="00D04DA2" w:rsidRDefault="736036BA"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 xml:space="preserve">The Fraser </w:t>
            </w:r>
            <w:r w:rsidR="0FDD878A" w:rsidRPr="00D04DA2">
              <w:rPr>
                <w:rFonts w:eastAsia="Calibri" w:cstheme="minorHAnsi"/>
                <w:color w:val="000000" w:themeColor="text1"/>
                <w:sz w:val="20"/>
                <w:szCs w:val="20"/>
              </w:rPr>
              <w:t>Institute</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26EF12AC" w14:textId="431276E3" w:rsidR="736036BA" w:rsidRPr="00D04DA2" w:rsidRDefault="736036BA"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p w14:paraId="40CAFDD4" w14:textId="2DD26A44" w:rsidR="14BCD324" w:rsidRPr="00D04DA2" w:rsidRDefault="14BCD324" w:rsidP="00D04DA2">
            <w:pPr>
              <w:spacing w:after="0" w:line="240" w:lineRule="auto"/>
              <w:contextualSpacing/>
              <w:rPr>
                <w:rFonts w:eastAsia="Calibri"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2595C9" w14:textId="37A1D001" w:rsidR="2E816118" w:rsidRPr="00D04DA2" w:rsidRDefault="2297DC55"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w:t>
            </w:r>
            <w:r w:rsidR="57D4E9E7" w:rsidRPr="00D04DA2">
              <w:rPr>
                <w:rFonts w:eastAsia="Calibri" w:cstheme="minorHAnsi"/>
                <w:color w:val="000000" w:themeColor="text1"/>
                <w:sz w:val="20"/>
                <w:szCs w:val="20"/>
              </w:rPr>
              <w:t>Impartial courts score</w:t>
            </w:r>
            <w:r w:rsidRPr="00D04DA2">
              <w:rPr>
                <w:rFonts w:eastAsia="Calibri" w:cstheme="minorHAnsi"/>
                <w:color w:val="000000" w:themeColor="text1"/>
                <w:sz w:val="20"/>
                <w:szCs w:val="20"/>
              </w:rPr>
              <w:t>” is a sub-component of a component “Legal systems and property rights score” of the “Economic Freedom Score</w:t>
            </w:r>
            <w:r w:rsidR="578631CB" w:rsidRPr="00D04DA2">
              <w:rPr>
                <w:rFonts w:eastAsia="Calibri" w:cstheme="minorHAnsi"/>
                <w:color w:val="000000" w:themeColor="text1"/>
                <w:sz w:val="20"/>
                <w:szCs w:val="20"/>
              </w:rPr>
              <w:t>.</w:t>
            </w:r>
            <w:r w:rsidRPr="00D04DA2">
              <w:rPr>
                <w:rFonts w:eastAsia="Calibri" w:cstheme="minorHAnsi"/>
                <w:color w:val="000000" w:themeColor="text1"/>
                <w:sz w:val="20"/>
                <w:szCs w:val="20"/>
              </w:rPr>
              <w:t>”</w:t>
            </w:r>
          </w:p>
          <w:p w14:paraId="4E39F570" w14:textId="5DE83626" w:rsidR="2E816118" w:rsidRPr="00D04DA2" w:rsidRDefault="2E816118" w:rsidP="00D04DA2">
            <w:pPr>
              <w:spacing w:after="0" w:line="240" w:lineRule="auto"/>
              <w:contextualSpacing/>
              <w:rPr>
                <w:rFonts w:eastAsia="Calibri" w:cstheme="minorHAnsi"/>
                <w:sz w:val="20"/>
                <w:szCs w:val="20"/>
              </w:rPr>
            </w:pPr>
          </w:p>
          <w:p w14:paraId="2AB15688" w14:textId="2EF33988" w:rsidR="7D6F4431" w:rsidRPr="00D04DA2" w:rsidRDefault="7D6F4431" w:rsidP="00D04DA2">
            <w:pPr>
              <w:spacing w:after="0" w:line="240" w:lineRule="auto"/>
              <w:contextualSpacing/>
              <w:rPr>
                <w:rFonts w:eastAsia="Calibri" w:cstheme="minorHAnsi"/>
                <w:sz w:val="20"/>
                <w:szCs w:val="20"/>
              </w:rPr>
            </w:pPr>
            <w:r w:rsidRPr="00D04DA2">
              <w:rPr>
                <w:rFonts w:eastAsia="Calibri" w:cstheme="minorHAnsi"/>
                <w:sz w:val="20"/>
                <w:szCs w:val="20"/>
              </w:rPr>
              <w:t xml:space="preserve">This component is from the Global Competitiveness Report question: “The legal framework in your country for private businesses to settle disputes and challenge the legality of government actions and/or regulations is inefficient and subject to manipulation (= 1) or is efficient and follows a clear, neutral process (= 7)”. The question’s wording has varied slightly over the years. </w:t>
            </w:r>
            <w:r w:rsidR="05030B53" w:rsidRPr="00D04DA2">
              <w:rPr>
                <w:rFonts w:eastAsia="Calibri" w:cstheme="minorHAnsi"/>
                <w:sz w:val="20"/>
                <w:szCs w:val="20"/>
              </w:rPr>
              <w:t xml:space="preserve">All variables from the Global Competitiveness Report were converted from the original 1-to-7 scale to a 0-to-10 scale using this formula: </w:t>
            </w:r>
            <w:proofErr w:type="spellStart"/>
            <w:r w:rsidR="05030B53" w:rsidRPr="00D04DA2">
              <w:rPr>
                <w:rFonts w:eastAsia="Calibri" w:cstheme="minorHAnsi"/>
                <w:sz w:val="20"/>
                <w:szCs w:val="20"/>
              </w:rPr>
              <w:t>EFWi</w:t>
            </w:r>
            <w:proofErr w:type="spellEnd"/>
            <w:r w:rsidR="05030B53" w:rsidRPr="00D04DA2">
              <w:rPr>
                <w:rFonts w:eastAsia="Calibri" w:cstheme="minorHAnsi"/>
                <w:sz w:val="20"/>
                <w:szCs w:val="20"/>
              </w:rPr>
              <w:t xml:space="preserve"> = ((</w:t>
            </w:r>
            <w:proofErr w:type="spellStart"/>
            <w:r w:rsidR="05030B53" w:rsidRPr="00D04DA2">
              <w:rPr>
                <w:rFonts w:eastAsia="Calibri" w:cstheme="minorHAnsi"/>
                <w:sz w:val="20"/>
                <w:szCs w:val="20"/>
              </w:rPr>
              <w:t>GCRi</w:t>
            </w:r>
            <w:proofErr w:type="spellEnd"/>
            <w:r w:rsidR="05030B53" w:rsidRPr="00D04DA2">
              <w:rPr>
                <w:rFonts w:eastAsia="Calibri" w:cstheme="minorHAnsi"/>
                <w:sz w:val="20"/>
                <w:szCs w:val="20"/>
              </w:rPr>
              <w:t>− 1) ÷ 6) × 10.</w:t>
            </w:r>
          </w:p>
          <w:p w14:paraId="2D1A7369" w14:textId="076B826A" w:rsidR="42665DDD" w:rsidRPr="00D04DA2" w:rsidRDefault="42665DDD" w:rsidP="00D04DA2">
            <w:pPr>
              <w:spacing w:after="0" w:line="240" w:lineRule="auto"/>
              <w:contextualSpacing/>
              <w:rPr>
                <w:rFonts w:eastAsia="Calibri" w:cstheme="minorHAnsi"/>
                <w:sz w:val="20"/>
                <w:szCs w:val="20"/>
              </w:rPr>
            </w:pPr>
          </w:p>
          <w:p w14:paraId="695D892C" w14:textId="21C2CFC3" w:rsidR="14BCD324" w:rsidRPr="00D04DA2" w:rsidRDefault="7D6F4431" w:rsidP="00D04DA2">
            <w:pPr>
              <w:spacing w:after="0" w:line="240" w:lineRule="auto"/>
              <w:contextualSpacing/>
              <w:rPr>
                <w:rFonts w:eastAsia="Calibri" w:cstheme="minorHAnsi"/>
                <w:sz w:val="20"/>
                <w:szCs w:val="20"/>
              </w:rPr>
            </w:pPr>
            <w:r w:rsidRPr="00D04DA2">
              <w:rPr>
                <w:rFonts w:eastAsia="Calibri" w:cstheme="minorHAnsi"/>
                <w:sz w:val="20"/>
                <w:szCs w:val="20"/>
              </w:rPr>
              <w:t>Source</w:t>
            </w:r>
            <w:r w:rsidR="0433777C" w:rsidRPr="00D04DA2">
              <w:rPr>
                <w:rFonts w:eastAsia="Calibri" w:cstheme="minorHAnsi"/>
                <w:sz w:val="20"/>
                <w:szCs w:val="20"/>
              </w:rPr>
              <w:t>:</w:t>
            </w:r>
            <w:r w:rsidRPr="00D04DA2">
              <w:rPr>
                <w:rFonts w:eastAsia="Calibri" w:cstheme="minorHAnsi"/>
                <w:sz w:val="20"/>
                <w:szCs w:val="20"/>
              </w:rPr>
              <w:t xml:space="preserve"> World Economic Forum, Global Competitiveness Report. The “Rule of Law” ratings from the World Bank’s Governance Indicators project are used to fill any values missing from the primary data source since 1995.</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14059815" w14:textId="780209CB" w:rsidR="14BCD324" w:rsidRPr="00D04DA2" w:rsidRDefault="1AA110B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Policy </w:t>
            </w:r>
            <w:r w:rsidR="002F283A" w:rsidRPr="00D04DA2">
              <w:rPr>
                <w:rFonts w:cstheme="minorHAnsi"/>
                <w:color w:val="000000" w:themeColor="text1"/>
                <w:sz w:val="20"/>
                <w:szCs w:val="20"/>
              </w:rPr>
              <w:t>m</w:t>
            </w:r>
            <w:r w:rsidRPr="00D04DA2">
              <w:rPr>
                <w:rFonts w:cstheme="minorHAnsi"/>
                <w:color w:val="000000" w:themeColor="text1"/>
                <w:sz w:val="20"/>
                <w:szCs w:val="20"/>
              </w:rPr>
              <w:t>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0E4E8C" w14:textId="5E015715" w:rsidR="14BCD324" w:rsidRPr="00D04DA2" w:rsidRDefault="1B771B92"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7E08F4" w14:textId="3C0F098E" w:rsidR="14BCD324" w:rsidRPr="00D04DA2" w:rsidRDefault="71F19F30"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165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8C3EBD" w14:textId="207B160F" w:rsidR="14BCD324" w:rsidRPr="00D04DA2" w:rsidRDefault="3545826B" w:rsidP="00D04DA2">
            <w:pPr>
              <w:spacing w:after="0" w:line="240" w:lineRule="auto"/>
              <w:contextualSpacing/>
              <w:rPr>
                <w:rFonts w:eastAsia="Calibri"/>
                <w:color w:val="000000" w:themeColor="text1"/>
                <w:sz w:val="20"/>
                <w:szCs w:val="20"/>
              </w:rPr>
            </w:pPr>
            <w:r w:rsidRPr="7B1D6ED9">
              <w:rPr>
                <w:rFonts w:eastAsia="Calibri"/>
                <w:color w:val="000000" w:themeColor="text1"/>
                <w:sz w:val="20"/>
                <w:szCs w:val="20"/>
              </w:rPr>
              <w:t>23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FB1750" w14:textId="77777777" w:rsidR="009D542B" w:rsidRPr="00D04DA2" w:rsidRDefault="00480A0C"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Every 5 years from 1970 to 2000.</w:t>
            </w:r>
          </w:p>
          <w:p w14:paraId="553858A3" w14:textId="77777777" w:rsidR="009D542B" w:rsidRPr="00D04DA2" w:rsidRDefault="009D542B" w:rsidP="00D04DA2">
            <w:pPr>
              <w:spacing w:after="0" w:line="240" w:lineRule="auto"/>
              <w:contextualSpacing/>
              <w:rPr>
                <w:rFonts w:eastAsia="Calibri" w:cstheme="minorHAnsi"/>
                <w:color w:val="000000" w:themeColor="text1"/>
                <w:sz w:val="20"/>
                <w:szCs w:val="20"/>
              </w:rPr>
            </w:pPr>
          </w:p>
          <w:p w14:paraId="5B505CCD" w14:textId="5A86BC2C" w:rsidR="2E816118" w:rsidRPr="00D04DA2" w:rsidRDefault="00480A0C"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Annual from 2000 to 2019</w:t>
            </w:r>
            <w:r w:rsidR="00427518" w:rsidRPr="00D04DA2">
              <w:rPr>
                <w:rFonts w:eastAsia="Calibri"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55BBB773" w14:textId="77777777" w:rsidR="2E816118" w:rsidRPr="00D04DA2" w:rsidRDefault="2E816118" w:rsidP="00D04DA2">
            <w:pPr>
              <w:spacing w:after="0" w:line="240" w:lineRule="auto"/>
              <w:contextualSpacing/>
              <w:rPr>
                <w:rFonts w:eastAsia="Calibri" w:cstheme="minorHAnsi"/>
                <w:sz w:val="20"/>
                <w:szCs w:val="20"/>
              </w:rPr>
            </w:pPr>
            <w:r w:rsidRPr="00D04DA2">
              <w:rPr>
                <w:rFonts w:eastAsia="Calibri" w:cstheme="minorHAnsi"/>
                <w:color w:val="0563C1"/>
                <w:sz w:val="20"/>
                <w:szCs w:val="20"/>
                <w:u w:val="single"/>
              </w:rPr>
              <w:t>https://www.fraserinstitute.org/economic-freedom/dataset?geozone=world&amp;year=2019&amp;page=dataset&amp;min-year=2&amp;max-year=0&amp;filter=1</w:t>
            </w:r>
          </w:p>
        </w:tc>
      </w:tr>
      <w:tr w:rsidR="00912FA5" w:rsidRPr="00D04DA2" w14:paraId="4EAF8613"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4E4146BC" w14:textId="206C9EA0" w:rsidR="70E4834C" w:rsidRPr="00D04DA2" w:rsidRDefault="1397675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20</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32DF5261" w14:textId="17216150" w:rsidR="1A1ABE0A" w:rsidRPr="00D04DA2" w:rsidRDefault="1A1ABE0A"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Registering Property</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483258" w14:textId="77777777" w:rsidR="1A1ABE0A" w:rsidRPr="00D04DA2" w:rsidRDefault="1A1ABE0A"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Operating a business</w:t>
            </w:r>
          </w:p>
          <w:p w14:paraId="5BA9C604" w14:textId="77777777" w:rsidR="1A1ABE0A" w:rsidRPr="00D04DA2" w:rsidRDefault="1A1ABE0A" w:rsidP="00D04DA2">
            <w:pPr>
              <w:spacing w:after="0" w:line="240" w:lineRule="auto"/>
              <w:contextualSpacing/>
              <w:rPr>
                <w:rFonts w:cstheme="minorHAnsi"/>
                <w:color w:val="000000" w:themeColor="text1"/>
                <w:sz w:val="20"/>
                <w:szCs w:val="20"/>
              </w:rPr>
            </w:pP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5B9346D2" w14:textId="18E09C6C" w:rsidR="70E4834C" w:rsidRPr="00D04DA2" w:rsidRDefault="082E1CE5"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Protection of property rights score</w:t>
            </w:r>
            <w:r w:rsidR="00F2724B">
              <w:rPr>
                <w:rFonts w:cstheme="minorHAnsi"/>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F8D06F" w14:textId="45C45587" w:rsidR="70E4834C" w:rsidRPr="00D04DA2" w:rsidRDefault="3058A271" w:rsidP="00D04DA2">
            <w:pPr>
              <w:spacing w:after="0" w:line="240" w:lineRule="auto"/>
              <w:contextualSpacing/>
              <w:rPr>
                <w:rFonts w:eastAsia="Calibri"/>
                <w:sz w:val="20"/>
                <w:szCs w:val="20"/>
              </w:rPr>
            </w:pPr>
            <w:r w:rsidRPr="6707B03D">
              <w:rPr>
                <w:rFonts w:eastAsia="Calibri"/>
                <w:sz w:val="20"/>
                <w:szCs w:val="20"/>
              </w:rPr>
              <w:t>Score</w:t>
            </w:r>
            <w:r w:rsidR="00C16B0F" w:rsidRPr="6707B03D">
              <w:rPr>
                <w:rFonts w:eastAsia="Calibri"/>
                <w:sz w:val="20"/>
                <w:szCs w:val="20"/>
              </w:rPr>
              <w:t xml:space="preserve"> of</w:t>
            </w:r>
            <w:r w:rsidRPr="6707B03D">
              <w:rPr>
                <w:rFonts w:eastAsia="Calibri"/>
                <w:sz w:val="20"/>
                <w:szCs w:val="20"/>
              </w:rPr>
              <w:t xml:space="preserve"> </w:t>
            </w:r>
            <w:r w:rsidR="089F309C" w:rsidRPr="6707B03D">
              <w:rPr>
                <w:rFonts w:eastAsia="Calibri"/>
                <w:sz w:val="20"/>
                <w:szCs w:val="20"/>
              </w:rPr>
              <w:t>1</w:t>
            </w:r>
            <w:r w:rsidRPr="6707B03D">
              <w:rPr>
                <w:rFonts w:eastAsia="Calibri"/>
                <w:sz w:val="20"/>
                <w:szCs w:val="20"/>
              </w:rPr>
              <w:t>-</w:t>
            </w:r>
            <w:r w:rsidR="2098925F" w:rsidRPr="6707B03D">
              <w:rPr>
                <w:rFonts w:eastAsia="Calibri"/>
                <w:sz w:val="20"/>
                <w:szCs w:val="20"/>
              </w:rPr>
              <w:t>7</w:t>
            </w:r>
            <w:r w:rsidRPr="6707B03D">
              <w:rPr>
                <w:rFonts w:eastAsia="Calibri"/>
                <w:sz w:val="20"/>
                <w:szCs w:val="20"/>
              </w:rPr>
              <w:t xml:space="preserve"> (</w:t>
            </w:r>
            <w:r w:rsidR="00427518" w:rsidRPr="6707B03D">
              <w:rPr>
                <w:rFonts w:eastAsia="Calibri"/>
                <w:sz w:val="20"/>
                <w:szCs w:val="20"/>
              </w:rPr>
              <w:t xml:space="preserve">where </w:t>
            </w:r>
            <w:r w:rsidR="02350FCF" w:rsidRPr="6707B03D">
              <w:rPr>
                <w:rFonts w:eastAsia="Calibri"/>
                <w:sz w:val="20"/>
                <w:szCs w:val="20"/>
              </w:rPr>
              <w:t>1</w:t>
            </w:r>
            <w:r w:rsidR="6CA982B6" w:rsidRPr="6707B03D">
              <w:rPr>
                <w:rFonts w:eastAsia="Calibri"/>
                <w:sz w:val="20"/>
                <w:szCs w:val="20"/>
              </w:rPr>
              <w:t xml:space="preserve"> </w:t>
            </w:r>
            <w:r w:rsidR="00427518" w:rsidRPr="6707B03D">
              <w:rPr>
                <w:rFonts w:eastAsia="Calibri"/>
                <w:sz w:val="20"/>
                <w:szCs w:val="20"/>
              </w:rPr>
              <w:t>means</w:t>
            </w:r>
            <w:r w:rsidR="00561582" w:rsidRPr="6707B03D">
              <w:rPr>
                <w:rFonts w:eastAsia="Calibri"/>
                <w:sz w:val="20"/>
                <w:szCs w:val="20"/>
              </w:rPr>
              <w:t xml:space="preserve"> </w:t>
            </w:r>
            <w:r w:rsidR="75B11172" w:rsidRPr="35CC89BE">
              <w:rPr>
                <w:rFonts w:eastAsia="Calibri"/>
                <w:sz w:val="20"/>
                <w:szCs w:val="20"/>
              </w:rPr>
              <w:t>property rights are</w:t>
            </w:r>
            <w:r w:rsidR="00561582" w:rsidRPr="35CC89BE">
              <w:rPr>
                <w:rFonts w:eastAsia="Calibri"/>
                <w:sz w:val="20"/>
                <w:szCs w:val="20"/>
              </w:rPr>
              <w:t xml:space="preserve"> </w:t>
            </w:r>
            <w:r w:rsidR="6CA982B6" w:rsidRPr="6707B03D">
              <w:rPr>
                <w:rFonts w:eastAsia="Calibri"/>
                <w:sz w:val="20"/>
                <w:szCs w:val="20"/>
              </w:rPr>
              <w:t xml:space="preserve">poorly </w:t>
            </w:r>
            <w:r w:rsidR="10822F56" w:rsidRPr="6707B03D">
              <w:rPr>
                <w:rFonts w:eastAsia="Calibri"/>
                <w:sz w:val="20"/>
                <w:szCs w:val="20"/>
              </w:rPr>
              <w:t>defined</w:t>
            </w:r>
            <w:r w:rsidR="6CA982B6" w:rsidRPr="6707B03D">
              <w:rPr>
                <w:rFonts w:eastAsia="Calibri"/>
                <w:sz w:val="20"/>
                <w:szCs w:val="20"/>
              </w:rPr>
              <w:t xml:space="preserve"> </w:t>
            </w:r>
            <w:r w:rsidR="6CA982B6" w:rsidRPr="6707B03D">
              <w:rPr>
                <w:rFonts w:eastAsia="Calibri"/>
                <w:sz w:val="20"/>
                <w:szCs w:val="20"/>
              </w:rPr>
              <w:lastRenderedPageBreak/>
              <w:t>and not protected by law</w:t>
            </w:r>
            <w:r w:rsidR="00561582" w:rsidRPr="6707B03D">
              <w:rPr>
                <w:rFonts w:eastAsia="Calibri"/>
                <w:sz w:val="20"/>
                <w:szCs w:val="20"/>
              </w:rPr>
              <w:t>;</w:t>
            </w:r>
            <w:r w:rsidR="6CA982B6" w:rsidRPr="6707B03D">
              <w:rPr>
                <w:rFonts w:eastAsia="Calibri"/>
                <w:sz w:val="20"/>
                <w:szCs w:val="20"/>
              </w:rPr>
              <w:t xml:space="preserve"> </w:t>
            </w:r>
            <w:r w:rsidR="3FE1E75F" w:rsidRPr="6707B03D">
              <w:rPr>
                <w:rFonts w:eastAsia="Calibri"/>
                <w:sz w:val="20"/>
                <w:szCs w:val="20"/>
              </w:rPr>
              <w:t>7</w:t>
            </w:r>
            <w:r w:rsidR="00561582" w:rsidRPr="6707B03D">
              <w:rPr>
                <w:rFonts w:eastAsia="Calibri"/>
                <w:sz w:val="20"/>
                <w:szCs w:val="20"/>
              </w:rPr>
              <w:t xml:space="preserve"> </w:t>
            </w:r>
            <w:r w:rsidR="00A959DE" w:rsidRPr="6707B03D">
              <w:rPr>
                <w:rFonts w:eastAsia="Calibri"/>
                <w:sz w:val="20"/>
                <w:szCs w:val="20"/>
              </w:rPr>
              <w:t xml:space="preserve">means </w:t>
            </w:r>
            <w:r w:rsidR="6CA982B6" w:rsidRPr="6707B03D">
              <w:rPr>
                <w:rFonts w:eastAsia="Calibri"/>
                <w:sz w:val="20"/>
                <w:szCs w:val="20"/>
              </w:rPr>
              <w:t>clearly defined and well pro</w:t>
            </w:r>
            <w:r w:rsidR="5257D6F7" w:rsidRPr="6707B03D">
              <w:rPr>
                <w:rFonts w:eastAsia="Calibri"/>
                <w:sz w:val="20"/>
                <w:szCs w:val="20"/>
              </w:rPr>
              <w:t>tected by law)</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14AB95" w14:textId="0CBDFD82" w:rsidR="74068881" w:rsidRPr="00D04DA2" w:rsidRDefault="74068881"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lastRenderedPageBreak/>
              <w:t>The Fraser Institute</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62C8CD9E" w14:textId="3667C2A3" w:rsidR="74068881" w:rsidRPr="00D04DA2" w:rsidRDefault="74068881"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p w14:paraId="334CDED7" w14:textId="2DD26A44" w:rsidR="74068881" w:rsidRPr="00D04DA2" w:rsidRDefault="74068881" w:rsidP="00D04DA2">
            <w:pPr>
              <w:spacing w:after="0" w:line="240" w:lineRule="auto"/>
              <w:contextualSpacing/>
              <w:rPr>
                <w:rFonts w:eastAsia="Calibri"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4EA4C7" w14:textId="26153482" w:rsidR="793F6C37" w:rsidRPr="00D04DA2" w:rsidRDefault="793F6C37"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“Protection of property rights score” is a sub-component of a component “Legal systems and property rights score” of the “Economic Freedom Score.”</w:t>
            </w:r>
            <w:r w:rsidRPr="00D04DA2">
              <w:rPr>
                <w:rFonts w:eastAsia="Calibri" w:cstheme="minorHAnsi"/>
                <w:sz w:val="20"/>
                <w:szCs w:val="20"/>
              </w:rPr>
              <w:t xml:space="preserve"> </w:t>
            </w:r>
          </w:p>
          <w:p w14:paraId="029CF267" w14:textId="158DF185" w:rsidR="3802F4FE" w:rsidRPr="00D04DA2" w:rsidRDefault="3802F4FE" w:rsidP="00D04DA2">
            <w:pPr>
              <w:spacing w:after="0" w:line="240" w:lineRule="auto"/>
              <w:contextualSpacing/>
              <w:rPr>
                <w:rFonts w:eastAsia="Calibri" w:cstheme="minorHAnsi"/>
                <w:sz w:val="20"/>
                <w:szCs w:val="20"/>
              </w:rPr>
            </w:pPr>
          </w:p>
          <w:p w14:paraId="438F6F51" w14:textId="7DBAA40E" w:rsidR="5623B4FF" w:rsidRPr="00D04DA2" w:rsidRDefault="03828EAF" w:rsidP="00D04DA2">
            <w:pPr>
              <w:spacing w:after="0" w:line="240" w:lineRule="auto"/>
              <w:contextualSpacing/>
              <w:rPr>
                <w:rFonts w:eastAsia="Calibri" w:cstheme="minorHAnsi"/>
                <w:sz w:val="20"/>
                <w:szCs w:val="20"/>
              </w:rPr>
            </w:pPr>
            <w:r w:rsidRPr="00D04DA2">
              <w:rPr>
                <w:rFonts w:eastAsia="Calibri" w:cstheme="minorHAnsi"/>
                <w:sz w:val="20"/>
                <w:szCs w:val="20"/>
              </w:rPr>
              <w:t xml:space="preserve">This component is from the Global Competitiveness Report question: “Property rights, including over financial assets, are poorly defined and not protected by law (= 1) or are clearly defined and well protected by law (= 7)”. This replaces a previous </w:t>
            </w:r>
            <w:r w:rsidRPr="00D04DA2">
              <w:rPr>
                <w:rFonts w:eastAsia="Calibri" w:cstheme="minorHAnsi"/>
                <w:sz w:val="20"/>
                <w:szCs w:val="20"/>
              </w:rPr>
              <w:lastRenderedPageBreak/>
              <w:t xml:space="preserve">question from the Global Competitiveness Report on protection </w:t>
            </w:r>
            <w:r w:rsidR="5623B4FF" w:rsidRPr="00D04DA2">
              <w:rPr>
                <w:rFonts w:eastAsia="Calibri" w:cstheme="minorHAnsi"/>
                <w:sz w:val="20"/>
                <w:szCs w:val="20"/>
              </w:rPr>
              <w:t xml:space="preserve">of intellectual property. </w:t>
            </w:r>
          </w:p>
          <w:p w14:paraId="366272E7" w14:textId="7784DFD3" w:rsidR="5B18019C" w:rsidRPr="00D04DA2" w:rsidRDefault="5B18019C" w:rsidP="00D04DA2">
            <w:pPr>
              <w:spacing w:after="0" w:line="240" w:lineRule="auto"/>
              <w:contextualSpacing/>
              <w:rPr>
                <w:rFonts w:eastAsia="Calibri" w:cstheme="minorHAnsi"/>
                <w:sz w:val="20"/>
                <w:szCs w:val="20"/>
              </w:rPr>
            </w:pPr>
          </w:p>
          <w:p w14:paraId="54FBEA9B" w14:textId="57558652" w:rsidR="70E4834C" w:rsidRPr="00D04DA2" w:rsidRDefault="5623B4FF" w:rsidP="00D04DA2">
            <w:pPr>
              <w:spacing w:after="0" w:line="240" w:lineRule="auto"/>
              <w:contextualSpacing/>
              <w:rPr>
                <w:rFonts w:eastAsia="Calibri" w:cstheme="minorHAnsi"/>
                <w:sz w:val="20"/>
                <w:szCs w:val="20"/>
              </w:rPr>
            </w:pPr>
            <w:r w:rsidRPr="00D04DA2">
              <w:rPr>
                <w:rFonts w:eastAsia="Calibri" w:cstheme="minorHAnsi"/>
                <w:sz w:val="20"/>
                <w:szCs w:val="20"/>
              </w:rPr>
              <w:t>Source: World Economic Forum, Global Competitiveness Report.</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3E110D3B" w14:textId="47763398" w:rsidR="70E4834C" w:rsidRPr="00D04DA2" w:rsidRDefault="00561582"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lastRenderedPageBreak/>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13635E" w14:textId="1E43F54E" w:rsidR="70E4834C" w:rsidRPr="00D04DA2" w:rsidRDefault="5646C5D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E926AE" w14:textId="5B63B5F9" w:rsidR="70E4834C" w:rsidRPr="00D04DA2" w:rsidRDefault="03D922D9"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165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B048DB" w14:textId="39EC7863" w:rsidR="70E4834C" w:rsidRPr="00D04DA2" w:rsidRDefault="7ADAEDD4" w:rsidP="00D04DA2">
            <w:pPr>
              <w:spacing w:after="0" w:line="240" w:lineRule="auto"/>
              <w:contextualSpacing/>
              <w:rPr>
                <w:rFonts w:eastAsia="Calibri"/>
                <w:color w:val="000000" w:themeColor="text1"/>
                <w:sz w:val="20"/>
                <w:szCs w:val="20"/>
              </w:rPr>
            </w:pPr>
            <w:r w:rsidRPr="7B1D6ED9">
              <w:rPr>
                <w:rFonts w:eastAsia="Calibri"/>
                <w:color w:val="000000" w:themeColor="text1"/>
                <w:sz w:val="20"/>
                <w:szCs w:val="20"/>
              </w:rPr>
              <w:t>23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742F99" w14:textId="77777777" w:rsidR="009D542B" w:rsidRPr="00D04DA2" w:rsidRDefault="004F6154"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Every 5 years from 1970 to 2000.</w:t>
            </w:r>
          </w:p>
          <w:p w14:paraId="3B6C7D91" w14:textId="77777777" w:rsidR="009D542B" w:rsidRPr="00D04DA2" w:rsidRDefault="009D542B" w:rsidP="00D04DA2">
            <w:pPr>
              <w:spacing w:after="0" w:line="240" w:lineRule="auto"/>
              <w:contextualSpacing/>
              <w:rPr>
                <w:rFonts w:eastAsia="Calibri" w:cstheme="minorHAnsi"/>
                <w:color w:val="000000" w:themeColor="text1"/>
                <w:sz w:val="20"/>
                <w:szCs w:val="20"/>
              </w:rPr>
            </w:pPr>
          </w:p>
          <w:p w14:paraId="7E9C6EB5" w14:textId="50B87461" w:rsidR="39065F31" w:rsidRPr="00D04DA2" w:rsidRDefault="004F6154"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Annual from 2000 to 2019</w:t>
            </w:r>
            <w:r w:rsidR="00427518" w:rsidRPr="00D04DA2">
              <w:rPr>
                <w:rFonts w:eastAsia="Calibri"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0ABF2937" w14:textId="77777777" w:rsidR="39065F31" w:rsidRPr="00D04DA2" w:rsidRDefault="39065F31" w:rsidP="00D04DA2">
            <w:pPr>
              <w:spacing w:after="0" w:line="240" w:lineRule="auto"/>
              <w:contextualSpacing/>
              <w:rPr>
                <w:rFonts w:eastAsia="Calibri" w:cstheme="minorHAnsi"/>
                <w:sz w:val="20"/>
                <w:szCs w:val="20"/>
              </w:rPr>
            </w:pPr>
            <w:r w:rsidRPr="00D04DA2">
              <w:rPr>
                <w:rFonts w:eastAsia="Calibri" w:cstheme="minorHAnsi"/>
                <w:color w:val="0563C1"/>
                <w:sz w:val="20"/>
                <w:szCs w:val="20"/>
                <w:u w:val="single"/>
              </w:rPr>
              <w:t>https://www.fraserinstitute.org/economic-freedom/dataset?geozone=world&amp;year=2019&amp;page=dataset&amp;min-</w:t>
            </w:r>
            <w:r w:rsidRPr="00D04DA2">
              <w:rPr>
                <w:rFonts w:eastAsia="Calibri" w:cstheme="minorHAnsi"/>
                <w:color w:val="0563C1"/>
                <w:sz w:val="20"/>
                <w:szCs w:val="20"/>
                <w:u w:val="single"/>
              </w:rPr>
              <w:lastRenderedPageBreak/>
              <w:t>year=2&amp;max-year=0&amp;filter=1</w:t>
            </w:r>
          </w:p>
        </w:tc>
      </w:tr>
      <w:tr w:rsidR="00912FA5" w:rsidRPr="00D04DA2" w14:paraId="3CFDD898" w14:textId="77777777" w:rsidTr="00920ABD">
        <w:trPr>
          <w:trHeight w:val="1241"/>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568D4A13" w14:textId="696253FF" w:rsidR="00E5474F" w:rsidRPr="00D04DA2" w:rsidRDefault="45F8EE4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21</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055FB14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Registering property</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213D6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6D3E3465" w14:textId="597C7EB5" w:rsidR="00E5474F" w:rsidRPr="00D04DA2" w:rsidRDefault="5BFEBA6E"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Efficiency of legal framework </w:t>
            </w:r>
            <w:r w:rsidR="10452E5D" w:rsidRPr="00D04DA2">
              <w:rPr>
                <w:rFonts w:cstheme="minorHAnsi"/>
                <w:color w:val="000000" w:themeColor="text1"/>
                <w:sz w:val="20"/>
                <w:szCs w:val="20"/>
              </w:rPr>
              <w:t xml:space="preserve">in settling disputes </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55B77B" w14:textId="72986653" w:rsidR="00E5474F" w:rsidRPr="00D04DA2" w:rsidRDefault="00E5474F" w:rsidP="00D04DA2">
            <w:pPr>
              <w:spacing w:after="0" w:line="240" w:lineRule="auto"/>
              <w:contextualSpacing/>
              <w:rPr>
                <w:color w:val="000000"/>
                <w:sz w:val="20"/>
                <w:szCs w:val="20"/>
              </w:rPr>
            </w:pPr>
            <w:r w:rsidRPr="6707B03D">
              <w:rPr>
                <w:rFonts w:eastAsia="Calibri"/>
                <w:color w:val="000000" w:themeColor="text1"/>
                <w:sz w:val="20"/>
                <w:szCs w:val="20"/>
              </w:rPr>
              <w:t xml:space="preserve">Score of </w:t>
            </w:r>
            <w:r w:rsidR="22A7E149" w:rsidRPr="6707B03D">
              <w:rPr>
                <w:rFonts w:eastAsia="Calibri"/>
                <w:color w:val="000000" w:themeColor="text1"/>
                <w:sz w:val="20"/>
                <w:szCs w:val="20"/>
              </w:rPr>
              <w:t>1</w:t>
            </w:r>
            <w:r w:rsidR="7289339F" w:rsidRPr="6707B03D">
              <w:rPr>
                <w:rFonts w:eastAsia="Calibri"/>
                <w:color w:val="000000" w:themeColor="text1"/>
                <w:sz w:val="20"/>
                <w:szCs w:val="20"/>
              </w:rPr>
              <w:t>-7</w:t>
            </w:r>
            <w:r w:rsidRPr="6707B03D">
              <w:rPr>
                <w:rFonts w:eastAsia="Calibri"/>
                <w:color w:val="000000" w:themeColor="text1"/>
                <w:sz w:val="20"/>
                <w:szCs w:val="20"/>
              </w:rPr>
              <w:t xml:space="preserve"> (</w:t>
            </w:r>
            <w:r w:rsidR="00C65963" w:rsidRPr="6707B03D">
              <w:rPr>
                <w:rFonts w:eastAsia="Calibri"/>
                <w:color w:val="000000" w:themeColor="text1"/>
                <w:sz w:val="20"/>
                <w:szCs w:val="20"/>
              </w:rPr>
              <w:t xml:space="preserve">where </w:t>
            </w:r>
            <w:r w:rsidR="007B0016">
              <w:rPr>
                <w:rFonts w:eastAsia="Calibri"/>
                <w:color w:val="000000" w:themeColor="text1"/>
                <w:sz w:val="20"/>
                <w:szCs w:val="20"/>
              </w:rPr>
              <w:t>1</w:t>
            </w:r>
            <w:r w:rsidRPr="6707B03D">
              <w:rPr>
                <w:rFonts w:eastAsia="Calibri"/>
                <w:color w:val="000000" w:themeColor="text1"/>
                <w:sz w:val="20"/>
                <w:szCs w:val="20"/>
              </w:rPr>
              <w:t xml:space="preserve"> </w:t>
            </w:r>
            <w:r w:rsidR="00C65963" w:rsidRPr="6707B03D">
              <w:rPr>
                <w:rFonts w:eastAsia="Calibri"/>
                <w:color w:val="000000" w:themeColor="text1"/>
                <w:sz w:val="20"/>
                <w:szCs w:val="20"/>
              </w:rPr>
              <w:t>means</w:t>
            </w:r>
            <w:r w:rsidRPr="6707B03D">
              <w:rPr>
                <w:rFonts w:eastAsia="Calibri"/>
                <w:color w:val="000000" w:themeColor="text1"/>
                <w:sz w:val="20"/>
                <w:szCs w:val="20"/>
              </w:rPr>
              <w:t xml:space="preserve"> </w:t>
            </w:r>
            <w:r w:rsidR="002611B5" w:rsidRPr="6707B03D">
              <w:rPr>
                <w:rFonts w:eastAsia="Calibri"/>
                <w:color w:val="000000" w:themeColor="text1"/>
                <w:sz w:val="20"/>
                <w:szCs w:val="20"/>
              </w:rPr>
              <w:t xml:space="preserve">extremely </w:t>
            </w:r>
            <w:r w:rsidRPr="6707B03D">
              <w:rPr>
                <w:rFonts w:eastAsia="Calibri"/>
                <w:color w:val="000000" w:themeColor="text1"/>
                <w:sz w:val="20"/>
                <w:szCs w:val="20"/>
              </w:rPr>
              <w:t>inefficien</w:t>
            </w:r>
            <w:r w:rsidR="002611B5" w:rsidRPr="6707B03D">
              <w:rPr>
                <w:rFonts w:eastAsia="Calibri"/>
                <w:color w:val="000000" w:themeColor="text1"/>
                <w:sz w:val="20"/>
                <w:szCs w:val="20"/>
              </w:rPr>
              <w:t>t</w:t>
            </w:r>
            <w:r w:rsidR="00253655" w:rsidRPr="6707B03D">
              <w:rPr>
                <w:rFonts w:eastAsia="Calibri"/>
                <w:color w:val="000000" w:themeColor="text1"/>
                <w:sz w:val="20"/>
                <w:szCs w:val="20"/>
              </w:rPr>
              <w:t>;</w:t>
            </w:r>
            <w:r w:rsidRPr="6707B03D">
              <w:rPr>
                <w:rFonts w:eastAsia="Calibri"/>
                <w:color w:val="000000" w:themeColor="text1"/>
                <w:sz w:val="20"/>
                <w:szCs w:val="20"/>
              </w:rPr>
              <w:t xml:space="preserve"> </w:t>
            </w:r>
            <w:r w:rsidR="14C8E39D" w:rsidRPr="6707B03D">
              <w:rPr>
                <w:rFonts w:eastAsia="Calibri"/>
                <w:color w:val="000000" w:themeColor="text1"/>
                <w:sz w:val="20"/>
                <w:szCs w:val="20"/>
              </w:rPr>
              <w:t>7</w:t>
            </w:r>
            <w:r w:rsidRPr="6707B03D">
              <w:rPr>
                <w:rFonts w:eastAsia="Calibri"/>
                <w:color w:val="000000" w:themeColor="text1"/>
                <w:sz w:val="20"/>
                <w:szCs w:val="20"/>
              </w:rPr>
              <w:t xml:space="preserve"> </w:t>
            </w:r>
            <w:r w:rsidR="00C65963" w:rsidRPr="6707B03D">
              <w:rPr>
                <w:rFonts w:eastAsia="Calibri"/>
                <w:color w:val="000000" w:themeColor="text1"/>
                <w:sz w:val="20"/>
                <w:szCs w:val="20"/>
              </w:rPr>
              <w:t>means</w:t>
            </w:r>
            <w:r w:rsidR="00253655" w:rsidRPr="6707B03D">
              <w:rPr>
                <w:rFonts w:eastAsia="Calibri"/>
                <w:color w:val="000000" w:themeColor="text1"/>
                <w:sz w:val="20"/>
                <w:szCs w:val="20"/>
              </w:rPr>
              <w:t xml:space="preserve"> </w:t>
            </w:r>
            <w:r w:rsidR="002611B5" w:rsidRPr="6707B03D">
              <w:rPr>
                <w:rFonts w:eastAsia="Calibri"/>
                <w:color w:val="000000" w:themeColor="text1"/>
                <w:sz w:val="20"/>
                <w:szCs w:val="20"/>
              </w:rPr>
              <w:t xml:space="preserve">extremely </w:t>
            </w:r>
            <w:r w:rsidRPr="6707B03D">
              <w:rPr>
                <w:rFonts w:eastAsia="Calibri"/>
                <w:color w:val="000000" w:themeColor="text1"/>
                <w:sz w:val="20"/>
                <w:szCs w:val="20"/>
              </w:rPr>
              <w:t>efficien</w:t>
            </w:r>
            <w:r w:rsidR="002611B5" w:rsidRPr="6707B03D">
              <w:rPr>
                <w:rFonts w:eastAsia="Calibri"/>
                <w:color w:val="000000" w:themeColor="text1"/>
                <w:sz w:val="20"/>
                <w:szCs w:val="20"/>
              </w:rPr>
              <w:t>t</w:t>
            </w:r>
            <w:r w:rsidRPr="6707B03D">
              <w:rPr>
                <w:rFonts w:eastAsia="Calibri"/>
                <w:color w:val="000000" w:themeColor="text1"/>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6CA421" w14:textId="0B5EAE52"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color w:val="000000" w:themeColor="text1"/>
                <w:sz w:val="20"/>
                <w:szCs w:val="20"/>
              </w:rPr>
              <w:t>World Economic Forum</w:t>
            </w:r>
            <w:r w:rsidR="0071128D">
              <w:rPr>
                <w:rFonts w:eastAsia="Calibri" w:cstheme="minorHAnsi"/>
                <w:color w:val="000000" w:themeColor="text1"/>
                <w:sz w:val="20"/>
                <w:szCs w:val="20"/>
              </w:rPr>
              <w:t xml:space="preserve"> - Global Competitiveness Report</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5F64FC00" w14:textId="594D46BC" w:rsidR="003B4B9D" w:rsidRPr="00D04DA2" w:rsidRDefault="003B4B9D"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p w14:paraId="25E1538A" w14:textId="74905049" w:rsidR="00E5474F" w:rsidRPr="00D04DA2" w:rsidRDefault="00E5474F" w:rsidP="00D04DA2">
            <w:pPr>
              <w:spacing w:after="0" w:line="240" w:lineRule="auto"/>
              <w:contextualSpacing/>
              <w:rPr>
                <w:rFonts w:eastAsia="Calibri"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4EAEE5" w14:textId="77777777" w:rsidR="00E5474F" w:rsidRPr="00D04DA2" w:rsidRDefault="00E5474F" w:rsidP="00D04DA2">
            <w:pPr>
              <w:spacing w:after="0" w:line="240" w:lineRule="auto"/>
              <w:contextualSpacing/>
              <w:rPr>
                <w:rFonts w:cstheme="minorHAnsi"/>
                <w:sz w:val="20"/>
                <w:szCs w:val="20"/>
              </w:rPr>
            </w:pPr>
            <w:r w:rsidRPr="00D04DA2">
              <w:rPr>
                <w:rFonts w:eastAsia="Calibri" w:cstheme="minorHAnsi"/>
                <w:sz w:val="20"/>
                <w:szCs w:val="20"/>
              </w:rPr>
              <w:t>The Global Competitiveness Index 4.0 measures national competitiveness—defined as the set of institutions, policies and factors that determine the level of productivity.</w:t>
            </w:r>
          </w:p>
          <w:p w14:paraId="75987841" w14:textId="77777777" w:rsidR="00E5474F" w:rsidRPr="00D04DA2" w:rsidRDefault="00E5474F" w:rsidP="00D04DA2">
            <w:pPr>
              <w:spacing w:after="0" w:line="240" w:lineRule="auto"/>
              <w:contextualSpacing/>
              <w:rPr>
                <w:rFonts w:cstheme="minorHAnsi"/>
                <w:sz w:val="20"/>
                <w:szCs w:val="20"/>
              </w:rPr>
            </w:pPr>
            <w:r w:rsidRPr="00D04DA2">
              <w:rPr>
                <w:rFonts w:eastAsia="Calibri" w:cstheme="minorHAnsi"/>
                <w:color w:val="000000" w:themeColor="text1"/>
                <w:sz w:val="20"/>
                <w:szCs w:val="20"/>
              </w:rPr>
              <w:t xml:space="preserve"> </w:t>
            </w:r>
          </w:p>
          <w:p w14:paraId="754A597C" w14:textId="51F5FEFA" w:rsidR="00E5474F" w:rsidRPr="00D04DA2" w:rsidRDefault="00E5474F" w:rsidP="00D04DA2">
            <w:pPr>
              <w:spacing w:after="0" w:line="240" w:lineRule="auto"/>
              <w:contextualSpacing/>
              <w:rPr>
                <w:rFonts w:eastAsia="Calibri"/>
                <w:color w:val="000000" w:themeColor="text1"/>
                <w:sz w:val="20"/>
                <w:szCs w:val="20"/>
              </w:rPr>
            </w:pPr>
            <w:r w:rsidRPr="6707B03D">
              <w:rPr>
                <w:rFonts w:eastAsia="Calibri"/>
                <w:color w:val="000000" w:themeColor="text1"/>
                <w:sz w:val="20"/>
                <w:szCs w:val="20"/>
              </w:rPr>
              <w:t xml:space="preserve">The sub-index </w:t>
            </w:r>
            <w:r w:rsidR="08A809E0" w:rsidRPr="6707B03D">
              <w:rPr>
                <w:rFonts w:eastAsia="Calibri"/>
                <w:color w:val="000000" w:themeColor="text1"/>
                <w:sz w:val="20"/>
                <w:szCs w:val="20"/>
              </w:rPr>
              <w:t>“</w:t>
            </w:r>
            <w:r w:rsidRPr="6707B03D">
              <w:rPr>
                <w:rFonts w:eastAsia="Calibri"/>
                <w:color w:val="000000" w:themeColor="text1"/>
                <w:sz w:val="20"/>
                <w:szCs w:val="20"/>
              </w:rPr>
              <w:t>Efficiency of legal framework in settling disputes</w:t>
            </w:r>
            <w:r w:rsidR="2967D278" w:rsidRPr="6707B03D">
              <w:rPr>
                <w:rFonts w:eastAsia="Calibri"/>
                <w:color w:val="000000" w:themeColor="text1"/>
                <w:sz w:val="20"/>
                <w:szCs w:val="20"/>
              </w:rPr>
              <w:t>”</w:t>
            </w:r>
            <w:r w:rsidRPr="6707B03D">
              <w:rPr>
                <w:rFonts w:eastAsia="Calibri"/>
                <w:color w:val="000000" w:themeColor="text1"/>
                <w:sz w:val="20"/>
                <w:szCs w:val="20"/>
              </w:rPr>
              <w:t xml:space="preserve"> looks at the response to the following survey question: “In your country, how efficient are the legal and judicial systems for companies in settling disputes?" </w:t>
            </w:r>
            <w:r w:rsidR="00707226" w:rsidRPr="6707B03D">
              <w:rPr>
                <w:rFonts w:eastAsia="Calibri"/>
                <w:color w:val="000000" w:themeColor="text1"/>
                <w:sz w:val="20"/>
                <w:szCs w:val="20"/>
              </w:rPr>
              <w:t>(</w:t>
            </w:r>
            <w:r w:rsidRPr="6707B03D">
              <w:rPr>
                <w:rFonts w:eastAsia="Calibri"/>
                <w:color w:val="000000" w:themeColor="text1"/>
                <w:sz w:val="20"/>
                <w:szCs w:val="20"/>
              </w:rPr>
              <w:t>1 = extremely inefficient; 7 = extremely efficient</w:t>
            </w:r>
            <w:r w:rsidR="00707226" w:rsidRPr="6707B03D">
              <w:rPr>
                <w:rFonts w:eastAsia="Calibri"/>
                <w:color w:val="000000" w:themeColor="text1"/>
                <w:sz w:val="20"/>
                <w:szCs w:val="20"/>
              </w:rPr>
              <w:t>)</w:t>
            </w:r>
          </w:p>
          <w:p w14:paraId="043995FF" w14:textId="77777777" w:rsidR="00707226" w:rsidRPr="00D04DA2" w:rsidRDefault="00707226" w:rsidP="00D04DA2">
            <w:pPr>
              <w:spacing w:after="0" w:line="240" w:lineRule="auto"/>
              <w:contextualSpacing/>
              <w:rPr>
                <w:rFonts w:cstheme="minorHAnsi"/>
                <w:sz w:val="20"/>
                <w:szCs w:val="20"/>
              </w:rPr>
            </w:pPr>
          </w:p>
          <w:p w14:paraId="4057DE43" w14:textId="14D49091" w:rsidR="00E5474F" w:rsidRPr="00D04DA2" w:rsidRDefault="2C466C7A"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Source: Survey data. These data are the results drawn from the World Economic Forum’s Executive Opinion Survey</w:t>
            </w:r>
            <w:r w:rsidR="00637BA1" w:rsidRPr="00D04DA2">
              <w:rPr>
                <w:rFonts w:cstheme="minorHAnsi"/>
                <w:color w:val="000000" w:themeColor="text1"/>
                <w:sz w:val="20"/>
                <w:szCs w:val="20"/>
              </w:rPr>
              <w:t>.</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1156A237" w14:textId="7DB5B72E" w:rsidR="00E5474F" w:rsidRPr="00D04DA2" w:rsidRDefault="5141E4CB"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F67FB1" w14:textId="3157D36C"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8D6A7D" w14:textId="0AEF58E9" w:rsidR="00E5474F" w:rsidRPr="00D04DA2" w:rsidRDefault="00E5474F" w:rsidP="00D04DA2">
            <w:pPr>
              <w:spacing w:after="0" w:line="240" w:lineRule="auto"/>
              <w:contextualSpacing/>
              <w:rPr>
                <w:color w:val="000000"/>
                <w:sz w:val="20"/>
                <w:szCs w:val="20"/>
              </w:rPr>
            </w:pPr>
            <w:r w:rsidRPr="5FEC9DBC">
              <w:rPr>
                <w:color w:val="000000" w:themeColor="text1"/>
                <w:sz w:val="20"/>
                <w:szCs w:val="20"/>
              </w:rPr>
              <w:t>1</w:t>
            </w:r>
            <w:r w:rsidR="3214BFFB" w:rsidRPr="5FEC9DBC">
              <w:rPr>
                <w:color w:val="000000" w:themeColor="text1"/>
                <w:sz w:val="20"/>
                <w:szCs w:val="20"/>
              </w:rPr>
              <w:t>51</w:t>
            </w:r>
            <w:r w:rsidRPr="5FEC9DBC">
              <w:rPr>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8A9D22" w14:textId="693AD706" w:rsidR="00E5474F" w:rsidRPr="00D04DA2" w:rsidRDefault="50B51660" w:rsidP="00D04DA2">
            <w:pPr>
              <w:spacing w:after="0" w:line="240" w:lineRule="auto"/>
              <w:contextualSpacing/>
              <w:rPr>
                <w:rFonts w:eastAsia="Calibri"/>
                <w:color w:val="000000" w:themeColor="text1"/>
                <w:sz w:val="20"/>
                <w:szCs w:val="20"/>
              </w:rPr>
            </w:pPr>
            <w:r w:rsidRPr="165DE737">
              <w:rPr>
                <w:rFonts w:eastAsia="Calibri"/>
                <w:color w:val="000000" w:themeColor="text1"/>
                <w:sz w:val="20"/>
                <w:szCs w:val="20"/>
              </w:rPr>
              <w:t>17</w:t>
            </w:r>
            <w:r w:rsidR="002F3076">
              <w:rPr>
                <w:rFonts w:eastAsia="Calibr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213062" w14:textId="77777777" w:rsidR="009130E0"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Annual</w:t>
            </w:r>
            <w:r w:rsidR="67E26344" w:rsidRPr="00D04DA2">
              <w:rPr>
                <w:rFonts w:eastAsia="Calibri" w:cstheme="minorHAnsi"/>
                <w:color w:val="000000" w:themeColor="text1"/>
                <w:sz w:val="20"/>
                <w:szCs w:val="20"/>
              </w:rPr>
              <w:t>.</w:t>
            </w:r>
          </w:p>
          <w:p w14:paraId="7F1D1272" w14:textId="77777777" w:rsidR="000C3A3B" w:rsidRPr="00D04DA2" w:rsidRDefault="000C3A3B" w:rsidP="00D04DA2">
            <w:pPr>
              <w:spacing w:after="0" w:line="240" w:lineRule="auto"/>
              <w:contextualSpacing/>
              <w:rPr>
                <w:rFonts w:eastAsia="Calibri" w:cstheme="minorHAnsi"/>
                <w:color w:val="000000" w:themeColor="text1"/>
                <w:sz w:val="20"/>
                <w:szCs w:val="20"/>
              </w:rPr>
            </w:pPr>
          </w:p>
          <w:p w14:paraId="383B184D" w14:textId="3F415C9E" w:rsidR="00E5474F" w:rsidRPr="00D04DA2" w:rsidRDefault="67E26344"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indicator is published for 2010-2019.</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4E20021C" w14:textId="7777777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color w:val="0563C1"/>
                <w:sz w:val="20"/>
                <w:szCs w:val="20"/>
                <w:u w:val="single"/>
              </w:rPr>
              <w:t>http://www3.weforum.org/docs/WEF_TheGlobalCompetitivenessReport2019.pdf</w:t>
            </w:r>
          </w:p>
        </w:tc>
      </w:tr>
      <w:tr w:rsidR="00D46986" w:rsidRPr="00D04DA2" w14:paraId="36A00840" w14:textId="77777777" w:rsidTr="167C0426">
        <w:trPr>
          <w:trHeight w:val="3644"/>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7228AE40" w14:textId="5612B161" w:rsidR="00E5474F" w:rsidRPr="00D04DA2" w:rsidRDefault="34BAB884"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2</w:t>
            </w:r>
            <w:r w:rsidR="006F02E7" w:rsidRPr="00D04DA2">
              <w:rPr>
                <w:rFonts w:cstheme="minorHAnsi"/>
                <w:color w:val="000000" w:themeColor="text1"/>
                <w:sz w:val="20"/>
                <w:szCs w:val="20"/>
              </w:rPr>
              <w:t>2</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1DB1BC99"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Registering property</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9CEA10"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Operating a business</w:t>
            </w:r>
          </w:p>
          <w:p w14:paraId="0CCC2F4C" w14:textId="77777777" w:rsidR="00E5474F" w:rsidRPr="00D04DA2" w:rsidRDefault="00E5474F" w:rsidP="00D04DA2">
            <w:pPr>
              <w:spacing w:after="0" w:line="240" w:lineRule="auto"/>
              <w:contextualSpacing/>
              <w:rPr>
                <w:rFonts w:cstheme="minorHAnsi"/>
                <w:color w:val="000000"/>
                <w:sz w:val="20"/>
                <w:szCs w:val="20"/>
              </w:rPr>
            </w:pP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103F3507" w14:textId="67699E0C" w:rsidR="00E5474F" w:rsidRPr="00D04DA2" w:rsidRDefault="0A4EBED6"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Property rights - </w:t>
            </w:r>
            <w:r w:rsidR="67BFCFA1" w:rsidRPr="00D04DA2">
              <w:rPr>
                <w:rFonts w:cstheme="minorHAnsi"/>
                <w:color w:val="000000" w:themeColor="text1"/>
                <w:sz w:val="20"/>
                <w:szCs w:val="20"/>
              </w:rPr>
              <w:t xml:space="preserve">Gender equality </w:t>
            </w:r>
            <w:r w:rsidR="15DB7043" w:rsidRPr="00D04DA2">
              <w:rPr>
                <w:rFonts w:cstheme="minorHAnsi"/>
                <w:color w:val="000000" w:themeColor="text1"/>
                <w:sz w:val="20"/>
                <w:szCs w:val="20"/>
              </w:rPr>
              <w:t>indicator</w:t>
            </w:r>
            <w:r w:rsidR="67BFCFA1" w:rsidRPr="00D04DA2">
              <w:rPr>
                <w:rFonts w:cstheme="minorHAnsi"/>
                <w:color w:val="000000" w:themeColor="text1"/>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3CDE0D" w14:textId="557F1C47" w:rsidR="00E5474F" w:rsidRPr="00D04DA2" w:rsidRDefault="00C56164"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 xml:space="preserve">Value </w:t>
            </w:r>
            <w:r w:rsidR="000C3A3B" w:rsidRPr="00D04DA2">
              <w:rPr>
                <w:rFonts w:eastAsia="Calibri" w:cstheme="minorHAnsi"/>
                <w:color w:val="000000" w:themeColor="text1"/>
                <w:sz w:val="20"/>
                <w:szCs w:val="20"/>
              </w:rPr>
              <w:t>of</w:t>
            </w:r>
            <w:r w:rsidR="53D29B6C" w:rsidRPr="00D04DA2">
              <w:rPr>
                <w:rFonts w:eastAsia="Calibri" w:cstheme="minorHAnsi"/>
                <w:color w:val="000000" w:themeColor="text1"/>
                <w:sz w:val="20"/>
                <w:szCs w:val="20"/>
              </w:rPr>
              <w:t xml:space="preserve"> 0</w:t>
            </w:r>
            <w:r w:rsidR="00650860" w:rsidRPr="00D04DA2">
              <w:rPr>
                <w:rFonts w:eastAsia="Calibri" w:cstheme="minorHAnsi"/>
                <w:color w:val="000000" w:themeColor="text1"/>
                <w:sz w:val="20"/>
                <w:szCs w:val="20"/>
              </w:rPr>
              <w:t>-</w:t>
            </w:r>
            <w:r w:rsidR="53D29B6C" w:rsidRPr="00D04DA2">
              <w:rPr>
                <w:rFonts w:eastAsia="Calibri" w:cstheme="minorHAnsi"/>
                <w:color w:val="000000" w:themeColor="text1"/>
                <w:sz w:val="20"/>
                <w:szCs w:val="20"/>
              </w:rPr>
              <w:t xml:space="preserve">4 </w:t>
            </w:r>
            <w:r w:rsidR="000C3A3B" w:rsidRPr="00D04DA2">
              <w:rPr>
                <w:rFonts w:eastAsia="Calibri" w:cstheme="minorHAnsi"/>
                <w:color w:val="000000" w:themeColor="text1"/>
                <w:sz w:val="20"/>
                <w:szCs w:val="20"/>
              </w:rPr>
              <w:t>(</w:t>
            </w:r>
            <w:r w:rsidR="00C4709C" w:rsidRPr="00D04DA2">
              <w:rPr>
                <w:rFonts w:eastAsia="Calibri" w:cstheme="minorHAnsi"/>
                <w:color w:val="000000" w:themeColor="text1"/>
                <w:sz w:val="20"/>
                <w:szCs w:val="20"/>
              </w:rPr>
              <w:t>F</w:t>
            </w:r>
            <w:r w:rsidR="00F57FC3" w:rsidRPr="00D04DA2">
              <w:rPr>
                <w:rFonts w:eastAsia="Calibri" w:cstheme="minorHAnsi"/>
                <w:color w:val="000000" w:themeColor="text1"/>
                <w:sz w:val="20"/>
                <w:szCs w:val="20"/>
              </w:rPr>
              <w:t xml:space="preserve">or more information, </w:t>
            </w:r>
            <w:r w:rsidR="00FE2584" w:rsidRPr="00D04DA2">
              <w:rPr>
                <w:rFonts w:eastAsia="Calibri" w:cstheme="minorHAnsi"/>
                <w:color w:val="000000" w:themeColor="text1"/>
                <w:sz w:val="20"/>
                <w:szCs w:val="20"/>
              </w:rPr>
              <w:t>read the d</w:t>
            </w:r>
            <w:r w:rsidR="00F57FC3" w:rsidRPr="00D04DA2">
              <w:rPr>
                <w:rFonts w:eastAsia="Calibri" w:cstheme="minorHAnsi"/>
                <w:color w:val="000000" w:themeColor="text1"/>
                <w:sz w:val="20"/>
                <w:szCs w:val="20"/>
              </w:rPr>
              <w:t>escription</w:t>
            </w:r>
            <w:r w:rsidR="53D29B6C" w:rsidRPr="00D04DA2">
              <w:rPr>
                <w:rFonts w:eastAsia="Calibri" w:cstheme="minorHAnsi"/>
                <w:color w:val="000000" w:themeColor="text1"/>
                <w:sz w:val="20"/>
                <w:szCs w:val="20"/>
              </w:rPr>
              <w:t>.</w:t>
            </w:r>
            <w:r w:rsidRPr="00D04DA2">
              <w:rPr>
                <w:rFonts w:eastAsia="Calibri" w:cstheme="minorHAnsi"/>
                <w:color w:val="000000" w:themeColor="text1"/>
                <w:sz w:val="20"/>
                <w:szCs w:val="20"/>
              </w:rPr>
              <w:t>)</w:t>
            </w:r>
          </w:p>
          <w:p w14:paraId="63E20CC8" w14:textId="4AE8711C" w:rsidR="00E5474F" w:rsidRPr="00D04DA2" w:rsidRDefault="00E5474F" w:rsidP="00D04DA2">
            <w:pPr>
              <w:spacing w:after="0" w:line="240" w:lineRule="auto"/>
              <w:contextualSpacing/>
              <w:rPr>
                <w:rFonts w:eastAsia="Calibri" w:cstheme="minorHAnsi"/>
                <w:color w:val="000000" w:themeColor="text1"/>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113A2E" w14:textId="5248187C" w:rsidR="00E5474F" w:rsidRPr="00D04DA2" w:rsidRDefault="0E378CCB"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Food and Agriculture Organization of the United Nations (FAO) </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19F1FBA3" w14:textId="049F8DC4"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4F58AE" w14:textId="77777777" w:rsidR="00E5474F" w:rsidRPr="00D04DA2" w:rsidRDefault="00E5474F" w:rsidP="00D04DA2">
            <w:pPr>
              <w:spacing w:after="0" w:line="240" w:lineRule="auto"/>
              <w:contextualSpacing/>
              <w:rPr>
                <w:rFonts w:cstheme="minorHAnsi"/>
                <w:sz w:val="20"/>
                <w:szCs w:val="20"/>
              </w:rPr>
            </w:pPr>
            <w:r w:rsidRPr="00D04DA2">
              <w:rPr>
                <w:rFonts w:eastAsia="Calibri" w:cstheme="minorHAnsi"/>
                <w:color w:val="000000" w:themeColor="text1"/>
                <w:sz w:val="20"/>
                <w:szCs w:val="20"/>
              </w:rPr>
              <w:t>The Legal Assessment Tool (LAT) for gender-equitable land tenure is built around 30 legal indicators, divided under 8 clusters of key elements for targeted policy intervention:</w:t>
            </w:r>
          </w:p>
          <w:p w14:paraId="4609FB74" w14:textId="6E2E6D85" w:rsidR="00E5474F" w:rsidRPr="00D04DA2" w:rsidRDefault="00FD77A0" w:rsidP="00D04DA2">
            <w:pPr>
              <w:pStyle w:val="ListParagraph"/>
              <w:numPr>
                <w:ilvl w:val="0"/>
                <w:numId w:val="2"/>
              </w:numPr>
              <w:spacing w:after="0" w:line="240" w:lineRule="auto"/>
              <w:rPr>
                <w:rFonts w:eastAsia="Calibri" w:cstheme="minorHAnsi"/>
                <w:color w:val="000000" w:themeColor="text1"/>
                <w:sz w:val="20"/>
                <w:szCs w:val="20"/>
              </w:rPr>
            </w:pPr>
            <w:r w:rsidRPr="00D04DA2">
              <w:rPr>
                <w:rFonts w:eastAsia="Calibri" w:cstheme="minorHAnsi"/>
                <w:color w:val="000000" w:themeColor="text1"/>
                <w:sz w:val="20"/>
                <w:szCs w:val="20"/>
              </w:rPr>
              <w:t>r</w:t>
            </w:r>
            <w:r w:rsidR="00E5474F" w:rsidRPr="00D04DA2">
              <w:rPr>
                <w:rFonts w:eastAsia="Calibri" w:cstheme="minorHAnsi"/>
                <w:color w:val="000000" w:themeColor="text1"/>
                <w:sz w:val="20"/>
                <w:szCs w:val="20"/>
              </w:rPr>
              <w:t>atification of human rights instruments</w:t>
            </w:r>
          </w:p>
          <w:p w14:paraId="08006EE1" w14:textId="2E840D3C" w:rsidR="00E5474F"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e</w:t>
            </w:r>
            <w:r w:rsidR="00E5474F" w:rsidRPr="00D04DA2">
              <w:rPr>
                <w:rFonts w:cstheme="minorHAnsi"/>
                <w:color w:val="000000" w:themeColor="text1"/>
                <w:sz w:val="20"/>
                <w:szCs w:val="20"/>
              </w:rPr>
              <w:t xml:space="preserve">limination of gender-based discrimination in the </w:t>
            </w:r>
            <w:r w:rsidRPr="00D04DA2">
              <w:rPr>
                <w:rFonts w:cstheme="minorHAnsi"/>
                <w:color w:val="000000" w:themeColor="text1"/>
                <w:sz w:val="20"/>
                <w:szCs w:val="20"/>
              </w:rPr>
              <w:t>c</w:t>
            </w:r>
            <w:r w:rsidR="00E5474F" w:rsidRPr="00D04DA2">
              <w:rPr>
                <w:rFonts w:cstheme="minorHAnsi"/>
                <w:color w:val="000000" w:themeColor="text1"/>
                <w:sz w:val="20"/>
                <w:szCs w:val="20"/>
              </w:rPr>
              <w:t>onstitution</w:t>
            </w:r>
          </w:p>
          <w:p w14:paraId="13AA6A22" w14:textId="622F3DF6" w:rsidR="00E5474F"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r</w:t>
            </w:r>
            <w:r w:rsidR="00E5474F" w:rsidRPr="00D04DA2">
              <w:rPr>
                <w:rFonts w:cstheme="minorHAnsi"/>
                <w:color w:val="000000" w:themeColor="text1"/>
                <w:sz w:val="20"/>
                <w:szCs w:val="20"/>
              </w:rPr>
              <w:t>ecognition of women’s legal capacity</w:t>
            </w:r>
          </w:p>
          <w:p w14:paraId="0BB65D44" w14:textId="57F25CFA" w:rsidR="00E5474F"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g</w:t>
            </w:r>
            <w:r w:rsidR="00E5474F" w:rsidRPr="00D04DA2">
              <w:rPr>
                <w:rFonts w:cstheme="minorHAnsi"/>
                <w:color w:val="000000" w:themeColor="text1"/>
                <w:sz w:val="20"/>
                <w:szCs w:val="20"/>
              </w:rPr>
              <w:t>ender equality of rights with respect to nationality</w:t>
            </w:r>
          </w:p>
          <w:p w14:paraId="6E24B50B" w14:textId="13C86DF7" w:rsidR="00E5474F"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g</w:t>
            </w:r>
            <w:r w:rsidR="00E5474F" w:rsidRPr="00D04DA2">
              <w:rPr>
                <w:rFonts w:cstheme="minorHAnsi"/>
                <w:color w:val="000000" w:themeColor="text1"/>
                <w:sz w:val="20"/>
                <w:szCs w:val="20"/>
              </w:rPr>
              <w:t>ender equality in property rights</w:t>
            </w:r>
          </w:p>
          <w:p w14:paraId="114261CF" w14:textId="338077C5" w:rsidR="00E5474F"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g</w:t>
            </w:r>
            <w:r w:rsidR="00E5474F" w:rsidRPr="00D04DA2">
              <w:rPr>
                <w:rFonts w:cstheme="minorHAnsi"/>
                <w:color w:val="000000" w:themeColor="text1"/>
                <w:sz w:val="20"/>
                <w:szCs w:val="20"/>
              </w:rPr>
              <w:t>ender equality in inheritance</w:t>
            </w:r>
          </w:p>
          <w:p w14:paraId="3AAEEA96" w14:textId="510BFF37" w:rsidR="00E5474F"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g</w:t>
            </w:r>
            <w:r w:rsidR="00E5474F" w:rsidRPr="00D04DA2">
              <w:rPr>
                <w:rFonts w:cstheme="minorHAnsi"/>
                <w:color w:val="000000" w:themeColor="text1"/>
                <w:sz w:val="20"/>
                <w:szCs w:val="20"/>
              </w:rPr>
              <w:t>ender-equitable implementation, dispute mechanisms and access to justice</w:t>
            </w:r>
          </w:p>
          <w:p w14:paraId="636A52A8" w14:textId="53F9046C" w:rsidR="00B33793" w:rsidRPr="00D04DA2" w:rsidRDefault="00FD77A0" w:rsidP="00D04DA2">
            <w:pPr>
              <w:pStyle w:val="ListParagraph"/>
              <w:numPr>
                <w:ilvl w:val="0"/>
                <w:numId w:val="2"/>
              </w:numPr>
              <w:spacing w:after="0" w:line="240" w:lineRule="auto"/>
              <w:rPr>
                <w:rFonts w:cstheme="minorHAnsi"/>
                <w:color w:val="000000" w:themeColor="text1"/>
                <w:sz w:val="20"/>
                <w:szCs w:val="20"/>
              </w:rPr>
            </w:pPr>
            <w:r w:rsidRPr="00D04DA2">
              <w:rPr>
                <w:rFonts w:cstheme="minorHAnsi"/>
                <w:color w:val="000000" w:themeColor="text1"/>
                <w:sz w:val="20"/>
                <w:szCs w:val="20"/>
              </w:rPr>
              <w:t>w</w:t>
            </w:r>
            <w:r w:rsidR="00E5474F" w:rsidRPr="00D04DA2">
              <w:rPr>
                <w:rFonts w:cstheme="minorHAnsi"/>
                <w:color w:val="000000" w:themeColor="text1"/>
                <w:sz w:val="20"/>
                <w:szCs w:val="20"/>
              </w:rPr>
              <w:t>omen’s participation in national and local institutions enforcing land legislation</w:t>
            </w:r>
          </w:p>
          <w:p w14:paraId="1D284870" w14:textId="3EAC5747" w:rsidR="387E5461" w:rsidRPr="00D04DA2" w:rsidRDefault="387E5461" w:rsidP="00D04DA2">
            <w:pPr>
              <w:spacing w:after="0" w:line="240" w:lineRule="auto"/>
              <w:contextualSpacing/>
              <w:rPr>
                <w:rFonts w:cstheme="minorHAnsi"/>
                <w:color w:val="000000" w:themeColor="text1"/>
                <w:sz w:val="20"/>
                <w:szCs w:val="20"/>
              </w:rPr>
            </w:pPr>
          </w:p>
          <w:p w14:paraId="1E344543" w14:textId="06A3D6FB" w:rsidR="387E5461" w:rsidRPr="00D04DA2" w:rsidRDefault="3621BB75"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w:t>
            </w:r>
            <w:r w:rsidR="51903FFD" w:rsidRPr="00D04DA2">
              <w:rPr>
                <w:rFonts w:cstheme="minorHAnsi"/>
                <w:color w:val="000000" w:themeColor="text1"/>
                <w:sz w:val="20"/>
                <w:szCs w:val="20"/>
              </w:rPr>
              <w:t xml:space="preserve">Property rights </w:t>
            </w:r>
            <w:r w:rsidR="008460E9" w:rsidRPr="00D04DA2">
              <w:rPr>
                <w:rFonts w:cstheme="minorHAnsi"/>
                <w:color w:val="000000" w:themeColor="text1"/>
                <w:sz w:val="20"/>
                <w:szCs w:val="20"/>
              </w:rPr>
              <w:t>-</w:t>
            </w:r>
            <w:r w:rsidR="51903FFD" w:rsidRPr="00D04DA2">
              <w:rPr>
                <w:rFonts w:cstheme="minorHAnsi"/>
                <w:color w:val="000000" w:themeColor="text1"/>
                <w:sz w:val="20"/>
                <w:szCs w:val="20"/>
              </w:rPr>
              <w:t xml:space="preserve"> </w:t>
            </w:r>
            <w:r w:rsidRPr="00D04DA2">
              <w:rPr>
                <w:rFonts w:cstheme="minorHAnsi"/>
                <w:color w:val="000000" w:themeColor="text1"/>
                <w:sz w:val="20"/>
                <w:szCs w:val="20"/>
              </w:rPr>
              <w:t xml:space="preserve">Gender </w:t>
            </w:r>
            <w:r w:rsidR="51903FFD" w:rsidRPr="00D04DA2">
              <w:rPr>
                <w:rFonts w:cstheme="minorHAnsi"/>
                <w:color w:val="000000" w:themeColor="text1"/>
                <w:sz w:val="20"/>
                <w:szCs w:val="20"/>
              </w:rPr>
              <w:t xml:space="preserve">equality” </w:t>
            </w:r>
            <w:r w:rsidRPr="00D04DA2">
              <w:rPr>
                <w:rFonts w:cstheme="minorHAnsi"/>
                <w:color w:val="000000" w:themeColor="text1"/>
                <w:sz w:val="20"/>
                <w:szCs w:val="20"/>
              </w:rPr>
              <w:t>indicator reflects to what extent a country has incorporated the statement "The law recognizes gender equality in the right to own or control property regardless of the type of marriage" into its national legal framework</w:t>
            </w:r>
            <w:r w:rsidR="3DE905E2" w:rsidRPr="00D04DA2">
              <w:rPr>
                <w:rFonts w:cstheme="minorHAnsi"/>
                <w:color w:val="000000" w:themeColor="text1"/>
                <w:sz w:val="20"/>
                <w:szCs w:val="20"/>
              </w:rPr>
              <w:t xml:space="preserve">. </w:t>
            </w:r>
          </w:p>
          <w:p w14:paraId="2449C7BB" w14:textId="6923F486" w:rsidR="00E5474F" w:rsidRPr="00D04DA2" w:rsidRDefault="00E5474F" w:rsidP="00D04DA2">
            <w:pPr>
              <w:spacing w:after="0" w:line="240" w:lineRule="auto"/>
              <w:contextualSpacing/>
              <w:rPr>
                <w:rFonts w:cstheme="minorHAnsi"/>
                <w:color w:val="000000"/>
                <w:sz w:val="20"/>
                <w:szCs w:val="20"/>
              </w:rPr>
            </w:pPr>
          </w:p>
          <w:p w14:paraId="110F4A95" w14:textId="1E099CC7" w:rsidR="00FE2584" w:rsidRPr="00D04DA2" w:rsidRDefault="003F6C21"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has v</w:t>
            </w:r>
            <w:r w:rsidR="00F57FC3" w:rsidRPr="00D04DA2">
              <w:rPr>
                <w:rFonts w:cstheme="minorHAnsi"/>
                <w:color w:val="000000" w:themeColor="text1"/>
                <w:sz w:val="20"/>
                <w:szCs w:val="20"/>
              </w:rPr>
              <w:t xml:space="preserve">alue </w:t>
            </w:r>
            <w:r w:rsidRPr="00D04DA2">
              <w:rPr>
                <w:rFonts w:cstheme="minorHAnsi"/>
                <w:color w:val="000000" w:themeColor="text1"/>
                <w:sz w:val="20"/>
                <w:szCs w:val="20"/>
              </w:rPr>
              <w:t>ranging from</w:t>
            </w:r>
            <w:r w:rsidR="00F57FC3" w:rsidRPr="00D04DA2">
              <w:rPr>
                <w:rFonts w:cstheme="minorHAnsi"/>
                <w:color w:val="000000" w:themeColor="text1"/>
                <w:sz w:val="20"/>
                <w:szCs w:val="20"/>
              </w:rPr>
              <w:t xml:space="preserve"> 0 to 4</w:t>
            </w:r>
            <w:r w:rsidRPr="00D04DA2">
              <w:rPr>
                <w:rFonts w:cstheme="minorHAnsi"/>
                <w:color w:val="000000" w:themeColor="text1"/>
                <w:sz w:val="20"/>
                <w:szCs w:val="20"/>
              </w:rPr>
              <w:t>.</w:t>
            </w:r>
          </w:p>
          <w:p w14:paraId="03308D41" w14:textId="77777777" w:rsidR="00B91912" w:rsidRPr="00D04DA2" w:rsidRDefault="00F57FC3" w:rsidP="00D04DA2">
            <w:pPr>
              <w:pStyle w:val="ListParagraph"/>
              <w:numPr>
                <w:ilvl w:val="0"/>
                <w:numId w:val="14"/>
              </w:numPr>
              <w:spacing w:after="0" w:line="240" w:lineRule="auto"/>
              <w:rPr>
                <w:rFonts w:cstheme="minorHAnsi"/>
                <w:color w:val="000000"/>
                <w:sz w:val="20"/>
                <w:szCs w:val="20"/>
              </w:rPr>
            </w:pPr>
            <w:r w:rsidRPr="00D04DA2">
              <w:rPr>
                <w:rFonts w:cstheme="minorHAnsi"/>
                <w:color w:val="000000"/>
                <w:sz w:val="20"/>
                <w:szCs w:val="20"/>
              </w:rPr>
              <w:t>0 = absence of the indicator in legal framework</w:t>
            </w:r>
          </w:p>
          <w:p w14:paraId="13FC4C73" w14:textId="77777777" w:rsidR="00B91912" w:rsidRPr="00D04DA2" w:rsidRDefault="00F57FC3" w:rsidP="00D04DA2">
            <w:pPr>
              <w:pStyle w:val="ListParagraph"/>
              <w:numPr>
                <w:ilvl w:val="0"/>
                <w:numId w:val="14"/>
              </w:numPr>
              <w:spacing w:after="0" w:line="240" w:lineRule="auto"/>
              <w:rPr>
                <w:rFonts w:cstheme="minorHAnsi"/>
                <w:color w:val="000000"/>
                <w:sz w:val="20"/>
                <w:szCs w:val="20"/>
              </w:rPr>
            </w:pPr>
            <w:r w:rsidRPr="00D04DA2">
              <w:rPr>
                <w:rFonts w:cstheme="minorHAnsi"/>
                <w:color w:val="000000"/>
                <w:sz w:val="20"/>
                <w:szCs w:val="20"/>
              </w:rPr>
              <w:t>1 = a policy is being developed</w:t>
            </w:r>
          </w:p>
          <w:p w14:paraId="05229821" w14:textId="77777777" w:rsidR="00B91912" w:rsidRPr="00D04DA2" w:rsidRDefault="00F57FC3" w:rsidP="00D04DA2">
            <w:pPr>
              <w:pStyle w:val="ListParagraph"/>
              <w:numPr>
                <w:ilvl w:val="0"/>
                <w:numId w:val="14"/>
              </w:numPr>
              <w:spacing w:after="0" w:line="240" w:lineRule="auto"/>
              <w:rPr>
                <w:rFonts w:cstheme="minorHAnsi"/>
                <w:color w:val="000000"/>
                <w:sz w:val="20"/>
                <w:szCs w:val="20"/>
              </w:rPr>
            </w:pPr>
            <w:r w:rsidRPr="00D04DA2">
              <w:rPr>
                <w:rFonts w:cstheme="minorHAnsi"/>
                <w:color w:val="000000"/>
                <w:sz w:val="20"/>
                <w:szCs w:val="20"/>
              </w:rPr>
              <w:t>1.5 = a policy is in place</w:t>
            </w:r>
          </w:p>
          <w:p w14:paraId="1C1CDAE2" w14:textId="77777777" w:rsidR="00B91912" w:rsidRPr="00D04DA2" w:rsidRDefault="00F57FC3" w:rsidP="00D04DA2">
            <w:pPr>
              <w:pStyle w:val="ListParagraph"/>
              <w:numPr>
                <w:ilvl w:val="0"/>
                <w:numId w:val="14"/>
              </w:numPr>
              <w:spacing w:after="0" w:line="240" w:lineRule="auto"/>
              <w:rPr>
                <w:rFonts w:cstheme="minorHAnsi"/>
                <w:color w:val="000000"/>
                <w:sz w:val="20"/>
                <w:szCs w:val="20"/>
              </w:rPr>
            </w:pPr>
            <w:r w:rsidRPr="00D04DA2">
              <w:rPr>
                <w:rFonts w:cstheme="minorHAnsi"/>
                <w:color w:val="000000"/>
                <w:sz w:val="20"/>
                <w:szCs w:val="20"/>
              </w:rPr>
              <w:t>2 = a draft legislation is to be submitted for deliberations</w:t>
            </w:r>
          </w:p>
          <w:p w14:paraId="04C63CEE" w14:textId="77777777" w:rsidR="00B91912" w:rsidRPr="00D04DA2" w:rsidRDefault="00F57FC3" w:rsidP="00D04DA2">
            <w:pPr>
              <w:pStyle w:val="ListParagraph"/>
              <w:numPr>
                <w:ilvl w:val="0"/>
                <w:numId w:val="14"/>
              </w:numPr>
              <w:spacing w:after="0" w:line="240" w:lineRule="auto"/>
              <w:rPr>
                <w:rFonts w:cstheme="minorHAnsi"/>
                <w:color w:val="000000"/>
                <w:sz w:val="20"/>
                <w:szCs w:val="20"/>
              </w:rPr>
            </w:pPr>
            <w:r w:rsidRPr="00D04DA2">
              <w:rPr>
                <w:rFonts w:cstheme="minorHAnsi"/>
                <w:color w:val="000000"/>
                <w:sz w:val="20"/>
                <w:szCs w:val="20"/>
              </w:rPr>
              <w:lastRenderedPageBreak/>
              <w:t>3 = the indicator appears in primary law</w:t>
            </w:r>
          </w:p>
          <w:p w14:paraId="00F1F2E4" w14:textId="0A41EF09" w:rsidR="00015E03" w:rsidRPr="00D04DA2" w:rsidRDefault="00F57FC3" w:rsidP="00D04DA2">
            <w:pPr>
              <w:pStyle w:val="ListParagraph"/>
              <w:numPr>
                <w:ilvl w:val="0"/>
                <w:numId w:val="14"/>
              </w:numPr>
              <w:spacing w:after="0" w:line="240" w:lineRule="auto"/>
              <w:rPr>
                <w:rFonts w:cstheme="minorHAnsi"/>
                <w:color w:val="000000"/>
                <w:sz w:val="20"/>
                <w:szCs w:val="20"/>
              </w:rPr>
            </w:pPr>
            <w:r w:rsidRPr="00D04DA2">
              <w:rPr>
                <w:rFonts w:cstheme="minorHAnsi"/>
                <w:color w:val="000000"/>
                <w:sz w:val="20"/>
                <w:szCs w:val="20"/>
              </w:rPr>
              <w:t>4 = the indicator appears in multiple legal instruments</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69394F24" w14:textId="32E03AAB" w:rsidR="00E5474F" w:rsidRPr="00D04DA2" w:rsidRDefault="59FA681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 xml:space="preserve">Policy </w:t>
            </w:r>
            <w:r w:rsidR="00BF13D7" w:rsidRPr="00D04DA2">
              <w:rPr>
                <w:rFonts w:cstheme="minorHAnsi"/>
                <w:color w:val="000000" w:themeColor="text1"/>
                <w:sz w:val="20"/>
                <w:szCs w:val="20"/>
              </w:rPr>
              <w:t>m</w:t>
            </w:r>
            <w:r w:rsidRPr="00D04DA2">
              <w:rPr>
                <w:rFonts w:cstheme="minorHAnsi"/>
                <w:color w:val="000000" w:themeColor="text1"/>
                <w:sz w:val="20"/>
                <w:szCs w:val="20"/>
              </w:rPr>
              <w:t>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FFD1F8" w14:textId="5F3781FE" w:rsidR="00E5474F" w:rsidRPr="00D04DA2" w:rsidRDefault="59FA681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26F953" w14:textId="6F82DF3D" w:rsidR="00E5474F" w:rsidRPr="00D04DA2" w:rsidRDefault="606884ED" w:rsidP="00D04DA2">
            <w:pPr>
              <w:spacing w:after="0" w:line="240" w:lineRule="auto"/>
              <w:contextualSpacing/>
              <w:rPr>
                <w:rFonts w:cstheme="minorHAnsi"/>
                <w:color w:val="000000"/>
                <w:sz w:val="20"/>
                <w:szCs w:val="20"/>
              </w:rPr>
            </w:pPr>
            <w:r w:rsidRPr="00D04DA2">
              <w:rPr>
                <w:rFonts w:eastAsia="Calibri" w:cstheme="minorHAnsi"/>
                <w:color w:val="000000" w:themeColor="text1"/>
                <w:sz w:val="20"/>
                <w:szCs w:val="20"/>
              </w:rPr>
              <w:t xml:space="preserve">25 economies </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73E4A5" w14:textId="3B68E03D" w:rsidR="00E5474F" w:rsidRPr="00D04DA2" w:rsidRDefault="14114DF1" w:rsidP="00D04DA2">
            <w:pPr>
              <w:spacing w:after="0" w:line="240" w:lineRule="auto"/>
              <w:contextualSpacing/>
              <w:rPr>
                <w:color w:val="000000"/>
                <w:sz w:val="20"/>
                <w:szCs w:val="20"/>
              </w:rPr>
            </w:pPr>
            <w:r w:rsidRPr="165DE737">
              <w:rPr>
                <w:color w:val="000000" w:themeColor="text1"/>
                <w:sz w:val="20"/>
                <w:szCs w:val="20"/>
              </w:rPr>
              <w:t>5</w:t>
            </w:r>
            <w:r w:rsidR="002F3076">
              <w:rPr>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37CF7A" w14:textId="0ABB0B91" w:rsidR="00E5474F" w:rsidRPr="00D04DA2" w:rsidRDefault="6676BE6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The indicator is available for </w:t>
            </w:r>
            <w:r w:rsidR="00E5474F" w:rsidRPr="00D04DA2">
              <w:rPr>
                <w:rFonts w:cstheme="minorHAnsi"/>
                <w:color w:val="000000" w:themeColor="text1"/>
                <w:sz w:val="20"/>
                <w:szCs w:val="20"/>
              </w:rPr>
              <w:t>2014</w:t>
            </w:r>
            <w:r w:rsidR="00C500C9" w:rsidRPr="00D04DA2">
              <w:rPr>
                <w:rFonts w:cstheme="minorHAnsi"/>
                <w:color w:val="000000" w:themeColor="text1"/>
                <w:sz w:val="20"/>
                <w:szCs w:val="20"/>
              </w:rPr>
              <w:t xml:space="preserve"> only</w:t>
            </w:r>
            <w:r w:rsidR="12C3386A"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671F4B7E"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eastAsia="Calibri" w:cstheme="minorHAnsi"/>
                <w:color w:val="0563C1"/>
                <w:sz w:val="20"/>
                <w:szCs w:val="20"/>
                <w:u w:val="single"/>
              </w:rPr>
              <w:t>https://landportal.org/book/dataset/fao-lat</w:t>
            </w:r>
          </w:p>
        </w:tc>
      </w:tr>
      <w:tr w:rsidR="00912FA5" w:rsidRPr="00D04DA2" w14:paraId="10C7D9BA"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01A7F37D" w14:textId="3287A360"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2</w:t>
            </w:r>
            <w:r w:rsidR="006F02E7" w:rsidRPr="00D04DA2">
              <w:rPr>
                <w:rFonts w:cstheme="minorHAnsi"/>
                <w:color w:val="000000" w:themeColor="text1"/>
                <w:sz w:val="20"/>
                <w:szCs w:val="20"/>
              </w:rPr>
              <w:t>3</w:t>
            </w:r>
          </w:p>
        </w:tc>
        <w:tc>
          <w:tcPr>
            <w:tcW w:w="1341" w:type="dxa"/>
            <w:tcBorders>
              <w:top w:val="single" w:sz="4" w:space="0" w:color="auto"/>
              <w:left w:val="single" w:sz="4" w:space="0" w:color="auto"/>
              <w:bottom w:val="single" w:sz="4" w:space="0" w:color="auto"/>
              <w:right w:val="nil"/>
            </w:tcBorders>
            <w:shd w:val="clear" w:color="auto" w:fill="auto"/>
          </w:tcPr>
          <w:p w14:paraId="2334AB19"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Getting Credit – Legal Rights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694A9C3"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00416E5B" w14:textId="410AA1BF" w:rsidR="00E5474F" w:rsidRPr="00D04DA2" w:rsidRDefault="00E12E9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w:t>
            </w:r>
            <w:r w:rsidR="00E5474F" w:rsidRPr="00D04DA2">
              <w:rPr>
                <w:rFonts w:cstheme="minorHAnsi"/>
                <w:color w:val="000000" w:themeColor="text1"/>
                <w:sz w:val="20"/>
                <w:szCs w:val="20"/>
              </w:rPr>
              <w:t xml:space="preserve">ecured </w:t>
            </w:r>
            <w:r w:rsidRPr="00D04DA2">
              <w:rPr>
                <w:rFonts w:cstheme="minorHAnsi"/>
                <w:color w:val="000000" w:themeColor="text1"/>
                <w:sz w:val="20"/>
                <w:szCs w:val="20"/>
              </w:rPr>
              <w:t>t</w:t>
            </w:r>
            <w:r w:rsidR="00E5474F" w:rsidRPr="00D04DA2">
              <w:rPr>
                <w:rFonts w:cstheme="minorHAnsi"/>
                <w:color w:val="000000" w:themeColor="text1"/>
                <w:sz w:val="20"/>
                <w:szCs w:val="20"/>
              </w:rPr>
              <w:t xml:space="preserve">ransactions </w:t>
            </w:r>
            <w:r w:rsidRPr="00D04DA2">
              <w:rPr>
                <w:rFonts w:cstheme="minorHAnsi"/>
                <w:color w:val="000000" w:themeColor="text1"/>
                <w:sz w:val="20"/>
                <w:szCs w:val="20"/>
              </w:rPr>
              <w:t>a</w:t>
            </w:r>
            <w:r w:rsidR="00E5474F" w:rsidRPr="00D04DA2">
              <w:rPr>
                <w:rFonts w:cstheme="minorHAnsi"/>
                <w:color w:val="000000" w:themeColor="text1"/>
                <w:sz w:val="20"/>
                <w:szCs w:val="20"/>
              </w:rPr>
              <w:t>ssessment</w:t>
            </w:r>
            <w:r w:rsidRPr="00D04DA2">
              <w:rPr>
                <w:rFonts w:cstheme="minorHAnsi"/>
                <w:color w:val="000000" w:themeColor="text1"/>
                <w:sz w:val="20"/>
                <w:szCs w:val="20"/>
              </w:rPr>
              <w:t xml:space="preserve"> score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34005" w14:textId="3914AB97" w:rsidR="00E5474F" w:rsidRPr="00D04DA2" w:rsidRDefault="00025D6E"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S</w:t>
            </w:r>
            <w:r w:rsidR="00E5474F" w:rsidRPr="00D04DA2">
              <w:rPr>
                <w:rFonts w:eastAsia="Calibri" w:cstheme="minorHAnsi"/>
                <w:color w:val="000000" w:themeColor="text1"/>
                <w:sz w:val="20"/>
                <w:szCs w:val="20"/>
              </w:rPr>
              <w:t xml:space="preserve">core </w:t>
            </w:r>
            <w:r w:rsidR="006E7509" w:rsidRPr="00D04DA2">
              <w:rPr>
                <w:rFonts w:eastAsia="Calibri" w:cstheme="minorHAnsi"/>
                <w:color w:val="000000" w:themeColor="text1"/>
                <w:sz w:val="20"/>
                <w:szCs w:val="20"/>
              </w:rPr>
              <w:t>of</w:t>
            </w:r>
            <w:r w:rsidR="00E5474F" w:rsidRPr="00D04DA2">
              <w:rPr>
                <w:rFonts w:eastAsia="Calibri" w:cstheme="minorHAnsi"/>
                <w:color w:val="000000" w:themeColor="text1"/>
                <w:sz w:val="20"/>
                <w:szCs w:val="20"/>
              </w:rPr>
              <w:t xml:space="preserve"> 0</w:t>
            </w:r>
            <w:r w:rsidR="006E7509" w:rsidRPr="00D04DA2">
              <w:rPr>
                <w:rFonts w:eastAsia="Calibri" w:cstheme="minorHAnsi"/>
                <w:color w:val="000000" w:themeColor="text1"/>
                <w:sz w:val="20"/>
                <w:szCs w:val="20"/>
              </w:rPr>
              <w:t>-</w:t>
            </w:r>
            <w:r w:rsidR="00E5474F" w:rsidRPr="00D04DA2">
              <w:rPr>
                <w:rFonts w:eastAsia="Calibri" w:cstheme="minorHAnsi"/>
                <w:color w:val="000000" w:themeColor="text1"/>
                <w:sz w:val="20"/>
                <w:szCs w:val="20"/>
              </w:rPr>
              <w:t>3 (</w:t>
            </w:r>
            <w:r w:rsidR="00DA50D0" w:rsidRPr="00D04DA2">
              <w:rPr>
                <w:rFonts w:eastAsia="Calibri" w:cstheme="minorHAnsi"/>
                <w:color w:val="000000" w:themeColor="text1"/>
                <w:sz w:val="20"/>
                <w:szCs w:val="20"/>
              </w:rPr>
              <w:t xml:space="preserve">where </w:t>
            </w:r>
            <w:r w:rsidR="00E5474F" w:rsidRPr="00D04DA2">
              <w:rPr>
                <w:rFonts w:eastAsia="Calibri" w:cstheme="minorHAnsi"/>
                <w:color w:val="000000" w:themeColor="text1"/>
                <w:sz w:val="20"/>
                <w:szCs w:val="20"/>
              </w:rPr>
              <w:t xml:space="preserve">0 </w:t>
            </w:r>
            <w:r w:rsidR="009F095B" w:rsidRPr="00D04DA2">
              <w:rPr>
                <w:rFonts w:eastAsia="Calibri" w:cstheme="minorHAnsi"/>
                <w:color w:val="000000" w:themeColor="text1"/>
                <w:sz w:val="20"/>
                <w:szCs w:val="20"/>
              </w:rPr>
              <w:t>represents</w:t>
            </w:r>
            <w:r w:rsidR="00E5474F" w:rsidRPr="00D04DA2">
              <w:rPr>
                <w:rFonts w:eastAsia="Calibri" w:cstheme="minorHAnsi"/>
                <w:color w:val="000000" w:themeColor="text1"/>
                <w:sz w:val="20"/>
                <w:szCs w:val="20"/>
              </w:rPr>
              <w:t xml:space="preserve"> unavailability of a mechanism) </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E2BEB0A" w14:textId="5FE5B399"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E</w:t>
            </w:r>
            <w:r w:rsidR="002E7D95" w:rsidRPr="00D04DA2">
              <w:rPr>
                <w:rFonts w:cstheme="minorHAnsi"/>
                <w:color w:val="000000" w:themeColor="text1"/>
                <w:sz w:val="20"/>
                <w:szCs w:val="20"/>
              </w:rPr>
              <w:t xml:space="preserve">uropean Bank for </w:t>
            </w:r>
            <w:r w:rsidR="00FF00E6" w:rsidRPr="00D04DA2">
              <w:rPr>
                <w:rFonts w:cstheme="minorHAnsi"/>
                <w:color w:val="000000" w:themeColor="text1"/>
                <w:sz w:val="20"/>
                <w:szCs w:val="20"/>
              </w:rPr>
              <w:t>Reconstruction and Development</w:t>
            </w:r>
            <w:r w:rsidR="00187D69" w:rsidRPr="00D04DA2">
              <w:rPr>
                <w:rFonts w:cstheme="minorHAnsi"/>
                <w:color w:val="000000" w:themeColor="text1"/>
                <w:sz w:val="20"/>
                <w:szCs w:val="20"/>
              </w:rPr>
              <w:t xml:space="preserve"> (EBRD)</w:t>
            </w:r>
          </w:p>
        </w:tc>
        <w:tc>
          <w:tcPr>
            <w:tcW w:w="1341" w:type="dxa"/>
            <w:tcBorders>
              <w:top w:val="single" w:sz="4" w:space="0" w:color="auto"/>
              <w:left w:val="nil"/>
              <w:bottom w:val="single" w:sz="4" w:space="0" w:color="auto"/>
              <w:right w:val="single" w:sz="4" w:space="0" w:color="auto"/>
            </w:tcBorders>
            <w:shd w:val="clear" w:color="auto" w:fill="auto"/>
          </w:tcPr>
          <w:p w14:paraId="25E4C416" w14:textId="780E482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405A26F" w14:textId="439CAEE4" w:rsidR="00E5474F" w:rsidRPr="00D04DA2" w:rsidRDefault="00E5474F" w:rsidP="00D04DA2">
            <w:pPr>
              <w:spacing w:after="0" w:line="240" w:lineRule="auto"/>
              <w:contextualSpacing/>
              <w:rPr>
                <w:rFonts w:cstheme="minorHAnsi"/>
                <w:color w:val="2F343A"/>
                <w:sz w:val="20"/>
                <w:szCs w:val="20"/>
              </w:rPr>
            </w:pPr>
            <w:r w:rsidRPr="00D04DA2">
              <w:rPr>
                <w:rFonts w:cstheme="minorHAnsi"/>
                <w:color w:val="2F343A"/>
                <w:sz w:val="20"/>
                <w:szCs w:val="20"/>
              </w:rPr>
              <w:t>The</w:t>
            </w:r>
            <w:r w:rsidR="00FE6559" w:rsidRPr="00D04DA2">
              <w:rPr>
                <w:rFonts w:cstheme="minorHAnsi"/>
                <w:color w:val="2F343A"/>
                <w:sz w:val="20"/>
                <w:szCs w:val="20"/>
              </w:rPr>
              <w:t xml:space="preserve"> secured transactions</w:t>
            </w:r>
            <w:r w:rsidRPr="00D04DA2">
              <w:rPr>
                <w:rFonts w:cstheme="minorHAnsi"/>
                <w:color w:val="2F343A"/>
                <w:sz w:val="20"/>
                <w:szCs w:val="20"/>
              </w:rPr>
              <w:t xml:space="preserve"> assessment examined the possibility of securing different types of assets. In addition to the security interests which consist of creating an ancillary property right over the asset (pledges and mortgages), the assessment also includes quasi security such as sale-and-lease-back transactions (financial leasing), assignment of receivables and financial collateral. The assessment also looked at the processes for creating and perfecting the security interest and its enforcement. </w:t>
            </w:r>
          </w:p>
          <w:p w14:paraId="544357BB" w14:textId="67188DD2" w:rsidR="00E5474F" w:rsidRPr="00D04DA2" w:rsidRDefault="00E5474F" w:rsidP="00D04DA2">
            <w:pPr>
              <w:spacing w:after="0" w:line="240" w:lineRule="auto"/>
              <w:contextualSpacing/>
              <w:rPr>
                <w:rFonts w:cstheme="minorHAnsi"/>
                <w:color w:val="2F343A"/>
                <w:sz w:val="20"/>
                <w:szCs w:val="20"/>
              </w:rPr>
            </w:pPr>
          </w:p>
        </w:tc>
        <w:tc>
          <w:tcPr>
            <w:tcW w:w="1485" w:type="dxa"/>
            <w:tcBorders>
              <w:top w:val="single" w:sz="4" w:space="0" w:color="auto"/>
              <w:left w:val="nil"/>
              <w:bottom w:val="single" w:sz="4" w:space="0" w:color="auto"/>
              <w:right w:val="single" w:sz="4" w:space="0" w:color="auto"/>
            </w:tcBorders>
          </w:tcPr>
          <w:p w14:paraId="38A4FDC6" w14:textId="6A10A4C1" w:rsidR="00E5474F" w:rsidRPr="00D04DA2" w:rsidRDefault="00B8088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Policy metri</w:t>
            </w:r>
            <w:r w:rsidR="00AE7946" w:rsidRPr="00D04DA2">
              <w:rPr>
                <w:rFonts w:cstheme="minorHAnsi"/>
                <w:color w:val="000000" w:themeColor="text1"/>
                <w:sz w:val="20"/>
                <w:szCs w:val="20"/>
              </w:rPr>
              <w:t>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DA9711A"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Regional</w:t>
            </w:r>
          </w:p>
          <w:p w14:paraId="368995AC" w14:textId="18DAC280" w:rsidR="00E5474F" w:rsidRPr="00D04DA2" w:rsidRDefault="00187D69" w:rsidP="00D04DA2">
            <w:pPr>
              <w:spacing w:after="0" w:line="240" w:lineRule="auto"/>
              <w:contextualSpacing/>
              <w:rPr>
                <w:rFonts w:cstheme="minorHAnsi"/>
                <w:color w:val="FF0000"/>
                <w:sz w:val="20"/>
                <w:szCs w:val="20"/>
              </w:rPr>
            </w:pPr>
            <w:r w:rsidRPr="00D04DA2">
              <w:rPr>
                <w:rFonts w:cstheme="minorHAnsi"/>
                <w:color w:val="000000" w:themeColor="text1"/>
                <w:sz w:val="20"/>
                <w:szCs w:val="20"/>
              </w:rPr>
              <w:t>(EBRD economies)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73FC12C" w14:textId="029A05A4" w:rsidR="00E5474F" w:rsidRPr="00D04DA2" w:rsidRDefault="006E7509" w:rsidP="00D04DA2">
            <w:pPr>
              <w:spacing w:after="0" w:line="240" w:lineRule="auto"/>
              <w:contextualSpacing/>
              <w:rPr>
                <w:rFonts w:eastAsia="Calibri" w:cstheme="minorHAnsi"/>
                <w:color w:val="000000" w:themeColor="text1"/>
                <w:sz w:val="20"/>
                <w:szCs w:val="20"/>
                <w:lang w:val="es-MX"/>
              </w:rPr>
            </w:pPr>
            <w:r w:rsidRPr="00D04DA2">
              <w:rPr>
                <w:rFonts w:eastAsia="Calibri" w:cstheme="minorHAnsi"/>
                <w:color w:val="000000" w:themeColor="text1"/>
                <w:sz w:val="20"/>
                <w:szCs w:val="20"/>
                <w:lang w:val="es-MX"/>
              </w:rPr>
              <w:t xml:space="preserve">24 </w:t>
            </w:r>
            <w:proofErr w:type="spellStart"/>
            <w:r w:rsidRPr="00D04DA2">
              <w:rPr>
                <w:rFonts w:eastAsia="Calibri" w:cstheme="minorHAnsi"/>
                <w:color w:val="000000" w:themeColor="text1"/>
                <w:sz w:val="20"/>
                <w:szCs w:val="20"/>
                <w:lang w:val="es-MX"/>
              </w:rPr>
              <w:t>economies</w:t>
            </w:r>
            <w:proofErr w:type="spellEnd"/>
            <w:r w:rsidR="00E5474F" w:rsidRPr="00D04DA2">
              <w:rPr>
                <w:rFonts w:eastAsia="Calibri" w:cstheme="minorHAnsi"/>
                <w:color w:val="000000" w:themeColor="text1"/>
                <w:sz w:val="20"/>
                <w:szCs w:val="20"/>
                <w:lang w:val="es-MX"/>
              </w:rPr>
              <w:t xml:space="preserve"> </w:t>
            </w:r>
          </w:p>
        </w:tc>
        <w:tc>
          <w:tcPr>
            <w:tcW w:w="1418" w:type="dxa"/>
            <w:tcBorders>
              <w:top w:val="single" w:sz="4" w:space="0" w:color="auto"/>
              <w:left w:val="single" w:sz="4" w:space="0" w:color="auto"/>
              <w:bottom w:val="single" w:sz="4" w:space="0" w:color="auto"/>
              <w:right w:val="single" w:sz="4" w:space="0" w:color="auto"/>
            </w:tcBorders>
          </w:tcPr>
          <w:p w14:paraId="3D3A48CD" w14:textId="000365F0" w:rsidR="00E5474F" w:rsidRPr="00D04DA2" w:rsidRDefault="00283799" w:rsidP="00D04DA2">
            <w:pPr>
              <w:spacing w:after="0" w:line="240" w:lineRule="auto"/>
              <w:contextualSpacing/>
              <w:rPr>
                <w:rFonts w:cstheme="minorHAnsi"/>
                <w:color w:val="000000" w:themeColor="text1"/>
                <w:sz w:val="20"/>
                <w:szCs w:val="20"/>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E29F15" w14:textId="0E96B67D" w:rsidR="00E5474F" w:rsidRPr="00D04DA2" w:rsidRDefault="001D270B"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indicator is published</w:t>
            </w:r>
            <w:r w:rsidR="0026523C" w:rsidRPr="00D04DA2">
              <w:rPr>
                <w:rFonts w:cstheme="minorHAnsi"/>
                <w:color w:val="000000" w:themeColor="text1"/>
                <w:sz w:val="20"/>
                <w:szCs w:val="20"/>
              </w:rPr>
              <w:t xml:space="preserve"> for </w:t>
            </w:r>
            <w:r w:rsidR="00E5474F" w:rsidRPr="00D04DA2">
              <w:rPr>
                <w:rFonts w:cstheme="minorHAnsi"/>
                <w:color w:val="000000" w:themeColor="text1"/>
                <w:sz w:val="20"/>
                <w:szCs w:val="20"/>
              </w:rPr>
              <w:t>2014 only</w:t>
            </w:r>
            <w:r w:rsidR="002D7296"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67FDCA42" w14:textId="77777777" w:rsidR="00E5474F" w:rsidRPr="00D04DA2" w:rsidRDefault="00FA1285" w:rsidP="00D04DA2">
            <w:pPr>
              <w:spacing w:after="0" w:line="240" w:lineRule="auto"/>
              <w:contextualSpacing/>
              <w:rPr>
                <w:rFonts w:eastAsia="Calibri" w:cstheme="minorHAnsi"/>
                <w:sz w:val="20"/>
                <w:szCs w:val="20"/>
              </w:rPr>
            </w:pPr>
            <w:hyperlink r:id="rId25" w:history="1">
              <w:r w:rsidR="00E5474F" w:rsidRPr="00D04DA2">
                <w:rPr>
                  <w:rStyle w:val="Hyperlink"/>
                  <w:rFonts w:eastAsia="Calibri" w:cstheme="minorHAnsi"/>
                  <w:sz w:val="20"/>
                  <w:szCs w:val="20"/>
                </w:rPr>
                <w:t>https://www.ebrd.com/cs/Satellite?c=Page&amp;cid=1395255781586&amp;pagename=EBRD%2FPage%2FArchive</w:t>
              </w:r>
            </w:hyperlink>
          </w:p>
          <w:p w14:paraId="216307A4" w14:textId="77777777" w:rsidR="00E5474F" w:rsidRPr="00D04DA2" w:rsidRDefault="00E5474F" w:rsidP="00D04DA2">
            <w:pPr>
              <w:spacing w:after="0" w:line="240" w:lineRule="auto"/>
              <w:contextualSpacing/>
              <w:rPr>
                <w:rFonts w:eastAsia="Calibri" w:cstheme="minorHAnsi"/>
                <w:sz w:val="20"/>
                <w:szCs w:val="20"/>
              </w:rPr>
            </w:pPr>
          </w:p>
          <w:p w14:paraId="0E4539D2" w14:textId="5064588E" w:rsidR="00E5474F" w:rsidRPr="00D04DA2" w:rsidRDefault="007F3352" w:rsidP="00D04DA2">
            <w:pPr>
              <w:spacing w:after="0" w:line="240" w:lineRule="auto"/>
              <w:contextualSpacing/>
              <w:rPr>
                <w:rFonts w:eastAsia="Calibri" w:cstheme="minorHAnsi"/>
                <w:sz w:val="20"/>
                <w:szCs w:val="20"/>
              </w:rPr>
            </w:pPr>
            <w:r w:rsidRPr="00D04DA2">
              <w:rPr>
                <w:rFonts w:cstheme="minorHAnsi"/>
                <w:b/>
                <w:bCs/>
                <w:color w:val="FF0000"/>
                <w:sz w:val="20"/>
                <w:szCs w:val="20"/>
              </w:rPr>
              <w:t xml:space="preserve">The data </w:t>
            </w:r>
            <w:r w:rsidR="009F5BDB" w:rsidRPr="00D04DA2">
              <w:rPr>
                <w:rFonts w:cstheme="minorHAnsi"/>
                <w:b/>
                <w:bCs/>
                <w:color w:val="FF0000"/>
                <w:sz w:val="20"/>
                <w:szCs w:val="20"/>
              </w:rPr>
              <w:t>is</w:t>
            </w:r>
            <w:r w:rsidRPr="00D04DA2">
              <w:rPr>
                <w:rFonts w:cstheme="minorHAnsi"/>
                <w:b/>
                <w:bCs/>
                <w:color w:val="FF0000"/>
                <w:sz w:val="20"/>
                <w:szCs w:val="20"/>
              </w:rPr>
              <w:t xml:space="preserve"> presented in chart only. </w:t>
            </w:r>
            <w:r w:rsidR="00380864" w:rsidRPr="00D04DA2">
              <w:rPr>
                <w:rFonts w:cstheme="minorHAnsi"/>
                <w:b/>
                <w:bCs/>
                <w:color w:val="FF0000"/>
                <w:sz w:val="20"/>
                <w:szCs w:val="20"/>
              </w:rPr>
              <w:t xml:space="preserve">The data </w:t>
            </w:r>
            <w:r w:rsidR="0027230F" w:rsidRPr="00D04DA2">
              <w:rPr>
                <w:rFonts w:cstheme="minorHAnsi"/>
                <w:b/>
                <w:bCs/>
                <w:color w:val="FF0000"/>
                <w:sz w:val="20"/>
                <w:szCs w:val="20"/>
              </w:rPr>
              <w:t>is</w:t>
            </w:r>
            <w:r w:rsidR="00380864" w:rsidRPr="00D04DA2">
              <w:rPr>
                <w:rFonts w:cstheme="minorHAnsi"/>
                <w:b/>
                <w:bCs/>
                <w:color w:val="FF0000"/>
                <w:sz w:val="20"/>
                <w:szCs w:val="20"/>
              </w:rPr>
              <w:t xml:space="preserve"> not currently available in an editable format.</w:t>
            </w:r>
          </w:p>
        </w:tc>
      </w:tr>
      <w:tr w:rsidR="00912FA5" w:rsidRPr="00D04DA2" w14:paraId="3FEB2FD9" w14:textId="77777777" w:rsidTr="00637BA1">
        <w:trPr>
          <w:trHeight w:val="1421"/>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5DF85D08" w14:textId="680DD03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2</w:t>
            </w:r>
            <w:r w:rsidR="006F02E7" w:rsidRPr="00D04DA2">
              <w:rPr>
                <w:rFonts w:cstheme="minorHAnsi"/>
                <w:color w:val="000000" w:themeColor="text1"/>
                <w:sz w:val="20"/>
                <w:szCs w:val="20"/>
              </w:rPr>
              <w:t>4</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1C15D90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credit—Credit information</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344C5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2A629608" w14:textId="513EE4DF"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Domestic credit provided by financial sector</w:t>
            </w:r>
            <w:r w:rsidR="00A42411" w:rsidRPr="00D04DA2">
              <w:rPr>
                <w:rFonts w:cstheme="minorHAnsi"/>
                <w:color w:val="000000"/>
                <w:sz w:val="20"/>
                <w:szCs w:val="20"/>
              </w:rPr>
              <w:t xml:space="preserve"> (World Development Indicators)</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226941" w14:textId="2FDA1D1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of GDP</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F09AB7" w14:textId="5DB95BD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International Monetary Fund, International Financial Statistics and data files, and World Bank Group and OECD GDP estimates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0F6C1ED9" w14:textId="56F309F6"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E81F6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Domestic credit provided by the financial sector includes all credit to various sectors on a gross basis, </w:t>
            </w:r>
            <w:proofErr w:type="gramStart"/>
            <w:r w:rsidRPr="00D04DA2">
              <w:rPr>
                <w:rFonts w:cstheme="minorHAnsi"/>
                <w:color w:val="000000"/>
                <w:sz w:val="20"/>
                <w:szCs w:val="20"/>
              </w:rPr>
              <w:t>with the exception of</w:t>
            </w:r>
            <w:proofErr w:type="gramEnd"/>
            <w:r w:rsidRPr="00D04DA2">
              <w:rPr>
                <w:rFonts w:cstheme="minorHAnsi"/>
                <w:color w:val="000000"/>
                <w:sz w:val="20"/>
                <w:szCs w:val="20"/>
              </w:rPr>
              <w:t xml:space="preserve"> credit to the central government, which is net. The financial sector includes monetary authorities and deposit money banks, as well as other financial corporations where data are available (including corporations that do not accept transferable deposits but do incur such liabilities as time and savings deposits). Examples of other financial corporations are finance and leasing companies, money lenders, insurance corporations, pension funds, and foreign exchange companies.</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2106F2AF" w14:textId="0EF1B4B0" w:rsidR="00E5474F" w:rsidRPr="00D04DA2" w:rsidRDefault="00673066"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0AAC6F" w14:textId="61875CFB"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85E044" w14:textId="630D880E" w:rsidR="00E5474F" w:rsidRPr="00D04DA2" w:rsidRDefault="00096DE1" w:rsidP="00D04DA2">
            <w:pPr>
              <w:spacing w:after="0" w:line="240" w:lineRule="auto"/>
              <w:contextualSpacing/>
              <w:rPr>
                <w:rFonts w:cstheme="minorHAnsi"/>
                <w:color w:val="000000"/>
                <w:sz w:val="20"/>
                <w:szCs w:val="20"/>
              </w:rPr>
            </w:pPr>
            <w:r>
              <w:rPr>
                <w:rFonts w:cstheme="minorHAnsi"/>
                <w:color w:val="000000"/>
                <w:sz w:val="20"/>
                <w:szCs w:val="20"/>
              </w:rPr>
              <w:t>58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169069" w14:textId="5D3B7D1C" w:rsidR="00E5474F" w:rsidRPr="00D04DA2" w:rsidRDefault="009F69F6" w:rsidP="00D04DA2">
            <w:pPr>
              <w:spacing w:after="0" w:line="240" w:lineRule="auto"/>
              <w:contextualSpacing/>
              <w:rPr>
                <w:rFonts w:cstheme="minorHAnsi"/>
                <w:color w:val="000000"/>
                <w:sz w:val="20"/>
                <w:szCs w:val="20"/>
              </w:rPr>
            </w:pPr>
            <w:r>
              <w:rPr>
                <w:rFonts w:cstheme="minorHAnsi"/>
                <w:color w:val="000000"/>
                <w:sz w:val="20"/>
                <w:szCs w:val="20"/>
              </w:rPr>
              <w:t>3</w:t>
            </w:r>
            <w:r w:rsidR="00427D31">
              <w:rPr>
                <w:rFonts w:cstheme="minorHAnsi"/>
                <w:color w:val="000000"/>
                <w:sz w:val="20"/>
                <w:szCs w:val="20"/>
              </w:rPr>
              <w:t xml:space="preserve"> economies </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95AE0F" w14:textId="5DF557A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Annual</w:t>
            </w:r>
            <w:r w:rsidR="00A318FF" w:rsidRPr="00D04DA2">
              <w:rPr>
                <w:rFonts w:cstheme="minorHAnsi"/>
                <w:color w:val="000000" w:themeColor="text1"/>
                <w:sz w:val="20"/>
                <w:szCs w:val="20"/>
              </w:rPr>
              <w:t>.</w:t>
            </w:r>
          </w:p>
          <w:p w14:paraId="309F88B0" w14:textId="5DF557A0" w:rsidR="006C429D" w:rsidRPr="00D04DA2" w:rsidRDefault="006C429D" w:rsidP="00D04DA2">
            <w:pPr>
              <w:spacing w:after="0" w:line="240" w:lineRule="auto"/>
              <w:contextualSpacing/>
              <w:rPr>
                <w:rFonts w:cstheme="minorHAnsi"/>
                <w:color w:val="000000"/>
                <w:sz w:val="20"/>
                <w:szCs w:val="20"/>
              </w:rPr>
            </w:pPr>
          </w:p>
          <w:p w14:paraId="57F93E2F" w14:textId="247C0202" w:rsidR="00E5474F" w:rsidRPr="00D04DA2" w:rsidRDefault="00D922E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is published for 1960-2020</w:t>
            </w:r>
            <w:r w:rsidR="00DD6C07"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0FD3803C" w14:textId="77777777" w:rsidR="00E5474F" w:rsidRPr="00D04DA2" w:rsidRDefault="00FA1285" w:rsidP="00D04DA2">
            <w:pPr>
              <w:spacing w:after="0" w:line="240" w:lineRule="auto"/>
              <w:contextualSpacing/>
              <w:rPr>
                <w:rFonts w:cstheme="minorHAnsi"/>
                <w:color w:val="000000"/>
                <w:sz w:val="20"/>
                <w:szCs w:val="20"/>
              </w:rPr>
            </w:pPr>
            <w:hyperlink r:id="rId26" w:tgtFrame="_blank" w:history="1">
              <w:r w:rsidR="00E5474F" w:rsidRPr="00D04DA2">
                <w:rPr>
                  <w:rStyle w:val="Hyperlink"/>
                  <w:rFonts w:cstheme="minorHAnsi"/>
                  <w:sz w:val="20"/>
                  <w:szCs w:val="20"/>
                </w:rPr>
                <w:t>https://databank.worldbank.org/Domestic-credit-provided-by-financial-sector-(-of-GDP)/id/6bc936d9</w:t>
              </w:r>
            </w:hyperlink>
          </w:p>
        </w:tc>
      </w:tr>
      <w:tr w:rsidR="00912FA5" w:rsidRPr="00D04DA2" w14:paraId="6CFB9478"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3C977E8F" w14:textId="2D0622A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2</w:t>
            </w:r>
            <w:r w:rsidR="006F02E7" w:rsidRPr="00D04DA2">
              <w:rPr>
                <w:rFonts w:cstheme="minorHAnsi"/>
                <w:color w:val="000000" w:themeColor="text1"/>
                <w:sz w:val="20"/>
                <w:szCs w:val="20"/>
              </w:rPr>
              <w:t>5</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1ADF0EE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credit—Credit information</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4BEE1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4DFAB6D6" w14:textId="39B7E02E"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Domestic credit to private sector</w:t>
            </w:r>
            <w:r w:rsidR="00D1473B" w:rsidRPr="00D04DA2">
              <w:rPr>
                <w:rFonts w:cstheme="minorHAnsi"/>
                <w:color w:val="000000"/>
                <w:sz w:val="20"/>
                <w:szCs w:val="20"/>
              </w:rPr>
              <w:t xml:space="preserve"> (World Development Indicators)</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450397" w14:textId="0F74ED9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of GDP</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A77526" w14:textId="2A027D7F"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International Monetary Fund, International Financial Statistics and data files, and World Bank </w:t>
            </w:r>
            <w:r w:rsidRPr="00D04DA2">
              <w:rPr>
                <w:rFonts w:cstheme="minorHAnsi"/>
                <w:color w:val="000000"/>
                <w:sz w:val="20"/>
                <w:szCs w:val="20"/>
              </w:rPr>
              <w:lastRenderedPageBreak/>
              <w:t>Group and OECD GDP estimates</w:t>
            </w:r>
          </w:p>
          <w:p w14:paraId="7345FC9B" w14:textId="77777777" w:rsidR="00E5474F" w:rsidRPr="00D04DA2" w:rsidRDefault="00E5474F" w:rsidP="00D04DA2">
            <w:pPr>
              <w:spacing w:after="0" w:line="240" w:lineRule="auto"/>
              <w:contextualSpacing/>
              <w:rPr>
                <w:rFonts w:cstheme="minorHAnsi"/>
                <w:color w:val="000000"/>
                <w:sz w:val="20"/>
                <w:szCs w:val="20"/>
              </w:rPr>
            </w:pP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5EF8C34A" w14:textId="44D1FDB4"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lastRenderedPageBreak/>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68C6D4"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Domestic credit to private sector refers to financial resources provided to the private sector by financial corporations, such as through loans, purchases of nonequity securities, and trade credits and other accounts receivable, that establish a claim for repayment. For some countries these claims include credit to public enterprises. The financial corporations include monetary authorities and deposit money banks, as well as other financial </w:t>
            </w:r>
            <w:r w:rsidRPr="00D04DA2">
              <w:rPr>
                <w:rFonts w:cstheme="minorHAnsi"/>
                <w:color w:val="000000"/>
                <w:sz w:val="20"/>
                <w:szCs w:val="20"/>
              </w:rPr>
              <w:lastRenderedPageBreak/>
              <w:t>corporations where data are available (including corporations that do not accept transferable deposits but do incur such liabilities as time and savings deposits). Examples of other financial corporations are finance and leasing companies, money lenders, insurance corporations, pension funds, and foreign exchange companies.</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395AE4B8" w14:textId="46F00BD0" w:rsidR="00E5474F" w:rsidRPr="00D04DA2" w:rsidRDefault="00673066" w:rsidP="00D04DA2">
            <w:pPr>
              <w:spacing w:after="0" w:line="240" w:lineRule="auto"/>
              <w:contextualSpacing/>
              <w:rPr>
                <w:rFonts w:cstheme="minorHAnsi"/>
                <w:color w:val="000000"/>
                <w:sz w:val="20"/>
                <w:szCs w:val="20"/>
              </w:rPr>
            </w:pPr>
            <w:r w:rsidRPr="00D04DA2">
              <w:rPr>
                <w:rFonts w:cstheme="minorHAnsi"/>
                <w:color w:val="000000"/>
                <w:sz w:val="20"/>
                <w:szCs w:val="20"/>
              </w:rPr>
              <w:lastRenderedPageBreak/>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A0576F" w14:textId="73EBD51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46FB71" w14:textId="442DDDD4" w:rsidR="00E5474F" w:rsidRPr="00D04DA2" w:rsidRDefault="00AC4EDE" w:rsidP="00D04DA2">
            <w:pPr>
              <w:spacing w:after="0" w:line="240" w:lineRule="auto"/>
              <w:contextualSpacing/>
              <w:rPr>
                <w:rFonts w:cstheme="minorHAnsi"/>
                <w:color w:val="000000"/>
                <w:sz w:val="20"/>
                <w:szCs w:val="20"/>
              </w:rPr>
            </w:pPr>
            <w:r>
              <w:rPr>
                <w:rFonts w:cstheme="minorHAnsi"/>
                <w:color w:val="000000"/>
                <w:sz w:val="20"/>
                <w:szCs w:val="20"/>
              </w:rPr>
              <w:t>18</w:t>
            </w:r>
            <w:r w:rsidR="009F600D">
              <w:rPr>
                <w:rFonts w:cstheme="minorHAnsi"/>
                <w:color w:val="000000"/>
                <w:sz w:val="20"/>
                <w:szCs w:val="20"/>
              </w:rPr>
              <w:t xml:space="preserve">5 </w:t>
            </w:r>
            <w:r w:rsidR="00E5474F" w:rsidRPr="00D04DA2">
              <w:rPr>
                <w:rFonts w:cstheme="minorHAnsi"/>
                <w:color w:val="000000"/>
                <w:sz w:val="20"/>
                <w:szCs w:val="20"/>
              </w:rPr>
              <w:t>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D7B1E4" w14:textId="702D38B9" w:rsidR="00E5474F" w:rsidRPr="00D04DA2" w:rsidRDefault="00AC4EDE" w:rsidP="00D04DA2">
            <w:pPr>
              <w:spacing w:after="0" w:line="240" w:lineRule="auto"/>
              <w:contextualSpacing/>
              <w:rPr>
                <w:rFonts w:cstheme="minorHAnsi"/>
                <w:color w:val="000000"/>
                <w:sz w:val="20"/>
                <w:szCs w:val="20"/>
              </w:rPr>
            </w:pPr>
            <w:r>
              <w:rPr>
                <w:rFonts w:cstheme="minorHAnsi"/>
                <w:color w:val="000000"/>
                <w:sz w:val="20"/>
                <w:szCs w:val="20"/>
              </w:rPr>
              <w:t>25</w:t>
            </w:r>
            <w:r w:rsidR="00427D31">
              <w:rPr>
                <w:rFonts w:cstheme="minorHAnsi"/>
                <w:color w:val="000000"/>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3C662D" w14:textId="5DF557A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Annual</w:t>
            </w:r>
            <w:r w:rsidR="00A318FF" w:rsidRPr="00D04DA2">
              <w:rPr>
                <w:rFonts w:cstheme="minorHAnsi"/>
                <w:color w:val="000000" w:themeColor="text1"/>
                <w:sz w:val="20"/>
                <w:szCs w:val="20"/>
              </w:rPr>
              <w:t>.</w:t>
            </w:r>
          </w:p>
          <w:p w14:paraId="34459176" w14:textId="5DF557A0" w:rsidR="006C429D" w:rsidRPr="00D04DA2" w:rsidRDefault="006C429D" w:rsidP="00D04DA2">
            <w:pPr>
              <w:spacing w:after="0" w:line="240" w:lineRule="auto"/>
              <w:contextualSpacing/>
              <w:rPr>
                <w:rFonts w:cstheme="minorHAnsi"/>
                <w:color w:val="000000"/>
                <w:sz w:val="20"/>
                <w:szCs w:val="20"/>
              </w:rPr>
            </w:pPr>
          </w:p>
          <w:p w14:paraId="7E28E7C7" w14:textId="4465BD80" w:rsidR="00E5474F" w:rsidRPr="00D04DA2" w:rsidRDefault="00D922E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is published for 1960-2020</w:t>
            </w:r>
            <w:r w:rsidR="00DD6C07"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0250B34F" w14:textId="77777777" w:rsidR="00E5474F" w:rsidRPr="00D04DA2" w:rsidRDefault="00FA1285" w:rsidP="00D04DA2">
            <w:pPr>
              <w:spacing w:after="0" w:line="240" w:lineRule="auto"/>
              <w:contextualSpacing/>
              <w:rPr>
                <w:rFonts w:cstheme="minorHAnsi"/>
                <w:color w:val="000000"/>
                <w:sz w:val="20"/>
                <w:szCs w:val="20"/>
              </w:rPr>
            </w:pPr>
            <w:hyperlink r:id="rId27" w:tgtFrame="_blank" w:history="1">
              <w:r w:rsidR="00E5474F" w:rsidRPr="00D04DA2">
                <w:rPr>
                  <w:rStyle w:val="Hyperlink"/>
                  <w:rFonts w:cstheme="minorHAnsi"/>
                  <w:sz w:val="20"/>
                  <w:szCs w:val="20"/>
                </w:rPr>
                <w:t>https://databank.worldbank.org/Domestic-credit-to-private-sector-(-of-GDP)/id/31139345</w:t>
              </w:r>
            </w:hyperlink>
          </w:p>
        </w:tc>
      </w:tr>
      <w:tr w:rsidR="00912FA5" w:rsidRPr="00D04DA2" w14:paraId="725BACBB"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0A7BB756" w14:textId="5738517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2</w:t>
            </w:r>
            <w:r w:rsidR="006F02E7" w:rsidRPr="00D04DA2">
              <w:rPr>
                <w:rFonts w:cstheme="minorHAnsi"/>
                <w:color w:val="000000" w:themeColor="text1"/>
                <w:sz w:val="20"/>
                <w:szCs w:val="20"/>
              </w:rPr>
              <w:t>6</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7350C79"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credit—Credit information</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2C5A9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159B5A00" w14:textId="2BD64B9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Borrowers from commercial banks </w:t>
            </w:r>
            <w:r w:rsidR="00D1473B" w:rsidRPr="00D04DA2">
              <w:rPr>
                <w:rFonts w:cstheme="minorHAnsi"/>
                <w:color w:val="000000"/>
                <w:sz w:val="20"/>
                <w:szCs w:val="20"/>
              </w:rPr>
              <w:t>(World Development Indicators)</w:t>
            </w:r>
          </w:p>
          <w:p w14:paraId="03D86601" w14:textId="77777777" w:rsidR="00E5474F" w:rsidRPr="00D04DA2" w:rsidRDefault="00E5474F" w:rsidP="00D04DA2">
            <w:pPr>
              <w:spacing w:after="0" w:line="240" w:lineRule="auto"/>
              <w:contextualSpacing/>
              <w:rPr>
                <w:rFonts w:cstheme="minorHAns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CDEA17" w14:textId="571ED245"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per 1,000 adults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9A30E6" w14:textId="37880312"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International Monetary Fund, Financial Access Survey</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6B52B866" w14:textId="46FECC5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7920E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Borrowers from commercial banks are the reported number of resident customers that are nonfinancial corporations (public and private) and households who obtained loans from commercial banks and other banks functioning as commercial banks. For many countries data cover the total number of loan accounts due to lack of information on loan account holders.</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0DDFF6B0" w14:textId="4261BB55" w:rsidR="00E5474F" w:rsidRPr="00D04DA2" w:rsidRDefault="00673066"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EF5372" w14:textId="705BD3F9"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FBB4A9" w14:textId="0593F686" w:rsidR="00E5474F" w:rsidRPr="00D04DA2" w:rsidRDefault="00427D31">
            <w:pPr>
              <w:spacing w:after="0" w:line="240" w:lineRule="auto"/>
              <w:contextualSpacing/>
              <w:rPr>
                <w:rFonts w:cstheme="minorHAnsi"/>
                <w:color w:val="000000"/>
                <w:sz w:val="20"/>
                <w:szCs w:val="20"/>
              </w:rPr>
            </w:pPr>
            <w:r>
              <w:rPr>
                <w:rFonts w:cstheme="minorHAnsi"/>
                <w:color w:val="000000"/>
                <w:sz w:val="20"/>
                <w:szCs w:val="20"/>
              </w:rPr>
              <w:t>114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4797B4" w14:textId="5D50C448" w:rsidR="00E5474F" w:rsidRPr="00D04DA2" w:rsidRDefault="00427D31" w:rsidP="00D04DA2">
            <w:pPr>
              <w:spacing w:after="0" w:line="240" w:lineRule="auto"/>
              <w:contextualSpacing/>
              <w:rPr>
                <w:rFonts w:cstheme="minorHAnsi"/>
                <w:color w:val="000000"/>
                <w:sz w:val="20"/>
                <w:szCs w:val="20"/>
              </w:rPr>
            </w:pPr>
            <w:r>
              <w:rPr>
                <w:rFonts w:cstheme="minorHAnsi"/>
                <w:color w:val="000000"/>
                <w:sz w:val="20"/>
                <w:szCs w:val="20"/>
              </w:rPr>
              <w:t>19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66D678" w14:textId="5DF557A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Annual</w:t>
            </w:r>
            <w:r w:rsidR="00A318FF" w:rsidRPr="00D04DA2">
              <w:rPr>
                <w:rFonts w:cstheme="minorHAnsi"/>
                <w:color w:val="000000" w:themeColor="text1"/>
                <w:sz w:val="20"/>
                <w:szCs w:val="20"/>
              </w:rPr>
              <w:t>.</w:t>
            </w:r>
          </w:p>
          <w:p w14:paraId="346F8D60" w14:textId="5DF557A0" w:rsidR="006C429D" w:rsidRPr="00D04DA2" w:rsidRDefault="006C429D" w:rsidP="00D04DA2">
            <w:pPr>
              <w:spacing w:after="0" w:line="240" w:lineRule="auto"/>
              <w:contextualSpacing/>
              <w:rPr>
                <w:rFonts w:cstheme="minorHAnsi"/>
                <w:color w:val="000000"/>
                <w:sz w:val="20"/>
                <w:szCs w:val="20"/>
              </w:rPr>
            </w:pPr>
          </w:p>
          <w:p w14:paraId="2D4E6F25" w14:textId="55A17E1E" w:rsidR="00E5474F" w:rsidRPr="00D04DA2" w:rsidRDefault="00D922E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is published for 2004-2020</w:t>
            </w:r>
            <w:r w:rsidR="00DD6C07"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50A9750" w14:textId="77777777" w:rsidR="00E5474F" w:rsidRPr="00D04DA2" w:rsidRDefault="00FA1285" w:rsidP="00D04DA2">
            <w:pPr>
              <w:spacing w:after="0" w:line="240" w:lineRule="auto"/>
              <w:contextualSpacing/>
              <w:rPr>
                <w:rFonts w:cstheme="minorHAnsi"/>
                <w:color w:val="000000"/>
                <w:sz w:val="20"/>
                <w:szCs w:val="20"/>
              </w:rPr>
            </w:pPr>
            <w:hyperlink r:id="rId28" w:tgtFrame="_blank" w:history="1">
              <w:r w:rsidR="00E5474F" w:rsidRPr="00D04DA2">
                <w:rPr>
                  <w:rStyle w:val="Hyperlink"/>
                  <w:rFonts w:cstheme="minorHAnsi"/>
                  <w:sz w:val="20"/>
                  <w:szCs w:val="20"/>
                </w:rPr>
                <w:t>https://databank.worldbank.org/Borrowers-from-commercial-banks-(per-1000-adults)/id/e1892514</w:t>
              </w:r>
            </w:hyperlink>
          </w:p>
        </w:tc>
      </w:tr>
      <w:tr w:rsidR="00912FA5" w:rsidRPr="00D04DA2" w14:paraId="325643E6"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41FE6583" w14:textId="6926853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2</w:t>
            </w:r>
            <w:r w:rsidR="006F02E7" w:rsidRPr="00D04DA2">
              <w:rPr>
                <w:rFonts w:cstheme="minorHAnsi"/>
                <w:color w:val="000000" w:themeColor="text1"/>
                <w:sz w:val="20"/>
                <w:szCs w:val="20"/>
              </w:rPr>
              <w:t>7</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57893BD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Getting credit—Credit information</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CA6EF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5F10DAB7" w14:textId="17CBDECD"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Real interest rate </w:t>
            </w:r>
            <w:r w:rsidR="00D1473B" w:rsidRPr="00D04DA2">
              <w:rPr>
                <w:rFonts w:cstheme="minorHAnsi"/>
                <w:color w:val="000000"/>
                <w:sz w:val="20"/>
                <w:szCs w:val="20"/>
              </w:rPr>
              <w:t>(World Development Indicators)</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A39385" w14:textId="6871CA7C"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08B592" w14:textId="4C4D1EE1"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International Monetary Fund, International Financial Statistics and data files using World Bank Group data on the GDP deflator</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742A5ECE" w14:textId="37F1F94D"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83EA97"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Real interest rate is the lending interest rate adjusted for inflation as measured by the GDP deflator. The terms and conditions attached to lending rates differ by country, however, limiting their comparability.</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62E02F47" w14:textId="3CCD5A75" w:rsidR="00E5474F" w:rsidRPr="00D04DA2" w:rsidRDefault="00673066"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CB701C" w14:textId="5300DB0C"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98A00F" w14:textId="78D9059A" w:rsidR="00E5474F" w:rsidRPr="00D04DA2" w:rsidRDefault="00427D31">
            <w:pPr>
              <w:spacing w:after="0" w:line="240" w:lineRule="auto"/>
              <w:contextualSpacing/>
              <w:rPr>
                <w:rFonts w:cstheme="minorHAnsi"/>
                <w:color w:val="000000"/>
                <w:sz w:val="20"/>
                <w:szCs w:val="20"/>
              </w:rPr>
            </w:pPr>
            <w:r>
              <w:rPr>
                <w:rFonts w:cstheme="minorHAnsi"/>
                <w:color w:val="000000"/>
                <w:sz w:val="20"/>
                <w:szCs w:val="20"/>
              </w:rPr>
              <w:t xml:space="preserve">147 </w:t>
            </w:r>
            <w:r w:rsidR="00E5474F" w:rsidRPr="00D04DA2">
              <w:rPr>
                <w:rFonts w:cstheme="minorHAnsi"/>
                <w:color w:val="000000"/>
                <w:sz w:val="20"/>
                <w:szCs w:val="20"/>
              </w:rPr>
              <w:t xml:space="preserve">economies </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E07362" w14:textId="7FFC92C4" w:rsidR="00E5474F" w:rsidRPr="00D04DA2" w:rsidRDefault="00427D31" w:rsidP="00D04DA2">
            <w:pPr>
              <w:spacing w:after="0" w:line="240" w:lineRule="auto"/>
              <w:contextualSpacing/>
              <w:rPr>
                <w:rFonts w:cstheme="minorHAnsi"/>
                <w:color w:val="000000"/>
                <w:sz w:val="20"/>
                <w:szCs w:val="20"/>
              </w:rPr>
            </w:pPr>
            <w:r>
              <w:rPr>
                <w:rFonts w:cstheme="minorHAnsi"/>
                <w:color w:val="000000"/>
                <w:sz w:val="20"/>
                <w:szCs w:val="20"/>
              </w:rPr>
              <w:t>20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0E1E05" w14:textId="5DF557A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Annual</w:t>
            </w:r>
            <w:r w:rsidR="00A318FF" w:rsidRPr="00D04DA2">
              <w:rPr>
                <w:rFonts w:cstheme="minorHAnsi"/>
                <w:color w:val="000000" w:themeColor="text1"/>
                <w:sz w:val="20"/>
                <w:szCs w:val="20"/>
              </w:rPr>
              <w:t>.</w:t>
            </w:r>
          </w:p>
          <w:p w14:paraId="5DB9EE6C" w14:textId="5DF557A0" w:rsidR="006C429D" w:rsidRPr="00D04DA2" w:rsidRDefault="006C429D" w:rsidP="00D04DA2">
            <w:pPr>
              <w:spacing w:after="0" w:line="240" w:lineRule="auto"/>
              <w:contextualSpacing/>
              <w:rPr>
                <w:rFonts w:cstheme="minorHAnsi"/>
                <w:color w:val="000000"/>
                <w:sz w:val="20"/>
                <w:szCs w:val="20"/>
              </w:rPr>
            </w:pPr>
          </w:p>
          <w:p w14:paraId="64416100" w14:textId="6AAB69C3" w:rsidR="00E5474F" w:rsidRPr="00D04DA2" w:rsidRDefault="00D922ED" w:rsidP="00D04DA2">
            <w:pPr>
              <w:spacing w:after="0" w:line="240" w:lineRule="auto"/>
              <w:contextualSpacing/>
              <w:rPr>
                <w:rFonts w:cstheme="minorHAnsi"/>
                <w:color w:val="FF0000"/>
                <w:sz w:val="20"/>
                <w:szCs w:val="20"/>
              </w:rPr>
            </w:pPr>
            <w:r w:rsidRPr="00D04DA2">
              <w:rPr>
                <w:rFonts w:cstheme="minorHAnsi"/>
                <w:color w:val="000000" w:themeColor="text1"/>
                <w:sz w:val="20"/>
                <w:szCs w:val="20"/>
              </w:rPr>
              <w:t>The indicator is published for 1961-2020</w:t>
            </w:r>
            <w:r w:rsidR="006C429D"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B331916" w14:textId="77777777" w:rsidR="00E5474F" w:rsidRPr="00D04DA2" w:rsidRDefault="00FA1285" w:rsidP="00D04DA2">
            <w:pPr>
              <w:spacing w:after="0" w:line="240" w:lineRule="auto"/>
              <w:contextualSpacing/>
              <w:rPr>
                <w:rFonts w:cstheme="minorHAnsi"/>
                <w:color w:val="0563C1"/>
                <w:sz w:val="20"/>
                <w:szCs w:val="20"/>
                <w:u w:val="single"/>
              </w:rPr>
            </w:pPr>
            <w:hyperlink r:id="rId29" w:tgtFrame="_blank" w:history="1">
              <w:r w:rsidR="00E5474F" w:rsidRPr="00D04DA2">
                <w:rPr>
                  <w:rStyle w:val="Hyperlink"/>
                  <w:rFonts w:cstheme="minorHAnsi"/>
                  <w:sz w:val="20"/>
                  <w:szCs w:val="20"/>
                </w:rPr>
                <w:t>https://databank.worldbank.org/Real-interest-rate-()/id/996b479a</w:t>
              </w:r>
            </w:hyperlink>
          </w:p>
        </w:tc>
      </w:tr>
      <w:tr w:rsidR="001101D5" w:rsidRPr="00D04DA2" w14:paraId="7638A6E6"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2817AB77" w14:textId="42D56108" w:rsidR="00E5474F" w:rsidRPr="00D04DA2" w:rsidRDefault="00A14DD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2</w:t>
            </w:r>
            <w:r w:rsidR="003C52A6" w:rsidRPr="00D04DA2">
              <w:rPr>
                <w:rFonts w:cstheme="minorHAnsi"/>
                <w:color w:val="000000" w:themeColor="text1"/>
                <w:sz w:val="20"/>
                <w:szCs w:val="20"/>
              </w:rPr>
              <w:t>8</w:t>
            </w:r>
          </w:p>
        </w:tc>
        <w:tc>
          <w:tcPr>
            <w:tcW w:w="1341" w:type="dxa"/>
            <w:tcBorders>
              <w:top w:val="single" w:sz="4" w:space="0" w:color="auto"/>
              <w:left w:val="single" w:sz="4" w:space="0" w:color="auto"/>
              <w:bottom w:val="single" w:sz="4" w:space="0" w:color="auto"/>
              <w:right w:val="nil"/>
            </w:tcBorders>
            <w:shd w:val="clear" w:color="auto" w:fill="auto"/>
          </w:tcPr>
          <w:p w14:paraId="2F19AA1B"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69F984B"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33A2177D" w14:textId="7CF02996" w:rsidR="00E5474F" w:rsidRPr="00D04DA2" w:rsidRDefault="001101D5" w:rsidP="00D04DA2">
            <w:pPr>
              <w:spacing w:after="0" w:line="240" w:lineRule="auto"/>
              <w:contextualSpacing/>
              <w:rPr>
                <w:rFonts w:cstheme="minorHAnsi"/>
                <w:sz w:val="20"/>
                <w:szCs w:val="20"/>
              </w:rPr>
            </w:pPr>
            <w:r w:rsidRPr="00D04DA2">
              <w:rPr>
                <w:rFonts w:eastAsia="Times New Roman" w:cstheme="minorHAnsi"/>
                <w:sz w:val="20"/>
                <w:szCs w:val="20"/>
              </w:rPr>
              <w:t>S</w:t>
            </w:r>
            <w:r w:rsidR="00E5474F" w:rsidRPr="00D04DA2">
              <w:rPr>
                <w:rFonts w:eastAsia="Times New Roman" w:cstheme="minorHAnsi"/>
                <w:sz w:val="20"/>
                <w:szCs w:val="20"/>
              </w:rPr>
              <w:t xml:space="preserve">trength of auditing and reporting standards </w:t>
            </w:r>
            <w:r w:rsidR="00B018B8" w:rsidRPr="00D04DA2">
              <w:rPr>
                <w:rFonts w:eastAsia="Times New Roman" w:cstheme="minorHAnsi"/>
                <w:sz w:val="20"/>
                <w:szCs w:val="20"/>
              </w:rPr>
              <w:t>(Global Competitiveness Index)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6BF09F" w14:textId="23EFA71A" w:rsidR="00E5474F" w:rsidRPr="00D04DA2" w:rsidRDefault="00D70F4C" w:rsidP="00D04DA2">
            <w:pPr>
              <w:spacing w:after="0" w:line="240" w:lineRule="auto"/>
              <w:contextualSpacing/>
              <w:rPr>
                <w:rFonts w:cstheme="minorHAnsi"/>
                <w:color w:val="000000"/>
                <w:sz w:val="20"/>
                <w:szCs w:val="20"/>
              </w:rPr>
            </w:pPr>
            <w:r w:rsidRPr="00D04DA2">
              <w:rPr>
                <w:rFonts w:cstheme="minorHAnsi"/>
                <w:color w:val="000000"/>
                <w:sz w:val="20"/>
                <w:szCs w:val="20"/>
              </w:rPr>
              <w:t>S</w:t>
            </w:r>
            <w:r w:rsidR="00E5474F" w:rsidRPr="00D04DA2">
              <w:rPr>
                <w:rFonts w:cstheme="minorHAnsi"/>
                <w:color w:val="000000"/>
                <w:sz w:val="20"/>
                <w:szCs w:val="20"/>
              </w:rPr>
              <w:t>core</w:t>
            </w:r>
          </w:p>
          <w:p w14:paraId="03FAF847" w14:textId="55040B0C" w:rsidR="00E5474F" w:rsidRPr="00D04DA2" w:rsidRDefault="001101D5"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of 1-7 </w:t>
            </w:r>
            <w:r w:rsidR="00D70F4C" w:rsidRPr="00D04DA2">
              <w:rPr>
                <w:rFonts w:cstheme="minorHAnsi"/>
                <w:color w:val="000000"/>
                <w:sz w:val="20"/>
                <w:szCs w:val="20"/>
              </w:rPr>
              <w:t>(</w:t>
            </w:r>
            <w:r w:rsidR="000D2AE2" w:rsidRPr="00D04DA2">
              <w:rPr>
                <w:rFonts w:cstheme="minorHAnsi"/>
                <w:color w:val="000000"/>
                <w:sz w:val="20"/>
                <w:szCs w:val="20"/>
              </w:rPr>
              <w:t xml:space="preserve">where </w:t>
            </w:r>
            <w:r w:rsidR="00E5474F" w:rsidRPr="00D04DA2">
              <w:rPr>
                <w:rFonts w:cstheme="minorHAnsi"/>
                <w:color w:val="000000"/>
                <w:sz w:val="20"/>
                <w:szCs w:val="20"/>
              </w:rPr>
              <w:t xml:space="preserve">1 </w:t>
            </w:r>
            <w:r w:rsidR="000D2AE2" w:rsidRPr="00D04DA2">
              <w:rPr>
                <w:rFonts w:cstheme="minorHAnsi"/>
                <w:color w:val="000000"/>
                <w:sz w:val="20"/>
                <w:szCs w:val="20"/>
              </w:rPr>
              <w:t xml:space="preserve">means </w:t>
            </w:r>
            <w:r w:rsidR="00E5474F" w:rsidRPr="00D04DA2">
              <w:rPr>
                <w:rFonts w:cstheme="minorHAnsi"/>
                <w:color w:val="000000"/>
                <w:sz w:val="20"/>
                <w:szCs w:val="20"/>
              </w:rPr>
              <w:t xml:space="preserve">extremely weak; 7 </w:t>
            </w:r>
            <w:r w:rsidR="000D2AE2" w:rsidRPr="00D04DA2">
              <w:rPr>
                <w:rFonts w:cstheme="minorHAnsi"/>
                <w:color w:val="000000"/>
                <w:sz w:val="20"/>
                <w:szCs w:val="20"/>
              </w:rPr>
              <w:t>means</w:t>
            </w:r>
            <w:r w:rsidR="00E5474F" w:rsidRPr="00D04DA2">
              <w:rPr>
                <w:rFonts w:cstheme="minorHAnsi"/>
                <w:color w:val="000000"/>
                <w:sz w:val="20"/>
                <w:szCs w:val="20"/>
              </w:rPr>
              <w:t xml:space="preserve"> extremely strong</w:t>
            </w:r>
            <w:r w:rsidR="00D70F4C"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E1380A7" w14:textId="41337583"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World Economic Forum</w:t>
            </w:r>
            <w:r w:rsidR="0071128D">
              <w:rPr>
                <w:rFonts w:eastAsia="Times New Roman" w:cstheme="minorHAnsi"/>
                <w:color w:val="000000"/>
                <w:sz w:val="20"/>
                <w:szCs w:val="20"/>
              </w:rPr>
              <w:t xml:space="preserve"> - Global </w:t>
            </w:r>
            <w:r w:rsidR="00D15EB3">
              <w:rPr>
                <w:rFonts w:eastAsia="Times New Roman" w:cstheme="minorHAnsi"/>
                <w:color w:val="000000"/>
                <w:sz w:val="20"/>
                <w:szCs w:val="20"/>
              </w:rPr>
              <w:t>Competitiveness Report</w:t>
            </w:r>
          </w:p>
        </w:tc>
        <w:tc>
          <w:tcPr>
            <w:tcW w:w="1341" w:type="dxa"/>
            <w:tcBorders>
              <w:top w:val="single" w:sz="4" w:space="0" w:color="auto"/>
              <w:left w:val="nil"/>
              <w:bottom w:val="single" w:sz="4" w:space="0" w:color="auto"/>
              <w:right w:val="single" w:sz="4" w:space="0" w:color="auto"/>
            </w:tcBorders>
            <w:shd w:val="clear" w:color="auto" w:fill="auto"/>
          </w:tcPr>
          <w:p w14:paraId="5D3B5DBC" w14:textId="58F5D4B0" w:rsidR="00E5474F" w:rsidRPr="00D04DA2" w:rsidRDefault="00812A23"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DB37278" w14:textId="06C03B41" w:rsidR="009D1932" w:rsidRPr="00D04DA2" w:rsidRDefault="00B11D7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 xml:space="preserve">The </w:t>
            </w:r>
            <w:r w:rsidR="006D2549" w:rsidRPr="00D04DA2">
              <w:rPr>
                <w:rFonts w:eastAsia="Times New Roman" w:cstheme="minorHAnsi"/>
                <w:color w:val="000000"/>
                <w:sz w:val="20"/>
                <w:szCs w:val="20"/>
              </w:rPr>
              <w:t>strength of auditing and reporting standards</w:t>
            </w:r>
            <w:r w:rsidR="00F04AD4" w:rsidRPr="00D04DA2">
              <w:rPr>
                <w:rFonts w:eastAsia="Times New Roman" w:cstheme="minorHAnsi"/>
                <w:color w:val="000000"/>
                <w:sz w:val="20"/>
                <w:szCs w:val="20"/>
              </w:rPr>
              <w:t xml:space="preserve"> indicator </w:t>
            </w:r>
            <w:r w:rsidR="00B2134F" w:rsidRPr="00D04DA2">
              <w:rPr>
                <w:rFonts w:eastAsia="Times New Roman" w:cstheme="minorHAnsi"/>
                <w:color w:val="000000"/>
                <w:sz w:val="20"/>
                <w:szCs w:val="20"/>
              </w:rPr>
              <w:t xml:space="preserve">measures </w:t>
            </w:r>
            <w:r w:rsidRPr="00D04DA2">
              <w:rPr>
                <w:rFonts w:eastAsia="Times New Roman" w:cstheme="minorHAnsi"/>
                <w:color w:val="000000"/>
                <w:sz w:val="20"/>
                <w:szCs w:val="20"/>
              </w:rPr>
              <w:t xml:space="preserve">how strong </w:t>
            </w:r>
            <w:r w:rsidR="00F04AD4" w:rsidRPr="00D04DA2">
              <w:rPr>
                <w:rFonts w:eastAsia="Times New Roman" w:cstheme="minorHAnsi"/>
                <w:color w:val="000000"/>
                <w:sz w:val="20"/>
                <w:szCs w:val="20"/>
              </w:rPr>
              <w:t>the</w:t>
            </w:r>
            <w:r w:rsidRPr="00D04DA2">
              <w:rPr>
                <w:rFonts w:eastAsia="Times New Roman" w:cstheme="minorHAnsi"/>
                <w:color w:val="000000"/>
                <w:sz w:val="20"/>
                <w:szCs w:val="20"/>
              </w:rPr>
              <w:t xml:space="preserve"> financial auditing and reporting standards</w:t>
            </w:r>
            <w:r w:rsidR="00B2134F" w:rsidRPr="00D04DA2">
              <w:rPr>
                <w:rFonts w:eastAsia="Times New Roman" w:cstheme="minorHAnsi"/>
                <w:color w:val="000000"/>
                <w:sz w:val="20"/>
                <w:szCs w:val="20"/>
              </w:rPr>
              <w:t xml:space="preserve"> </w:t>
            </w:r>
            <w:r w:rsidR="00F04AD4" w:rsidRPr="00D04DA2">
              <w:rPr>
                <w:rFonts w:eastAsia="Times New Roman" w:cstheme="minorHAnsi"/>
                <w:color w:val="000000"/>
                <w:sz w:val="20"/>
                <w:szCs w:val="20"/>
              </w:rPr>
              <w:t xml:space="preserve">are </w:t>
            </w:r>
            <w:r w:rsidR="00B2134F" w:rsidRPr="00D04DA2">
              <w:rPr>
                <w:rFonts w:eastAsia="Times New Roman" w:cstheme="minorHAnsi"/>
                <w:color w:val="000000"/>
                <w:sz w:val="20"/>
                <w:szCs w:val="20"/>
              </w:rPr>
              <w:t>on a scale from 1 to 7.</w:t>
            </w:r>
          </w:p>
          <w:p w14:paraId="34DA16A3" w14:textId="77777777" w:rsidR="00E5474F" w:rsidRPr="00D04DA2" w:rsidRDefault="00E5474F" w:rsidP="00D04DA2">
            <w:pPr>
              <w:spacing w:after="0" w:line="240" w:lineRule="auto"/>
              <w:contextualSpacing/>
              <w:rPr>
                <w:rFonts w:cstheme="minorHAnsi"/>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tcPr>
          <w:p w14:paraId="70FF5778" w14:textId="1187693D" w:rsidR="00E5474F" w:rsidRPr="00D04DA2" w:rsidRDefault="00243C6B"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DA34641" w14:textId="4168EAAA"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CAF9B0" w14:textId="194E7D8F"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1</w:t>
            </w:r>
            <w:r w:rsidR="00915D72" w:rsidRPr="00D04DA2">
              <w:rPr>
                <w:rFonts w:eastAsia="Times New Roman" w:cstheme="minorHAnsi"/>
                <w:color w:val="000000"/>
                <w:sz w:val="20"/>
                <w:szCs w:val="20"/>
              </w:rPr>
              <w:t>52</w:t>
            </w:r>
            <w:r w:rsidRPr="00D04DA2">
              <w:rPr>
                <w:rFonts w:eastAsia="Times New Roman" w:cstheme="minorHAnsi"/>
                <w:color w:val="000000"/>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5B41A2F1" w14:textId="283A0367" w:rsidR="00E5474F" w:rsidRPr="00D04DA2" w:rsidRDefault="00CF0A89" w:rsidP="00D04DA2">
            <w:pPr>
              <w:spacing w:after="0" w:line="240" w:lineRule="auto"/>
              <w:contextualSpacing/>
              <w:rPr>
                <w:rFonts w:eastAsia="Times New Roman" w:cstheme="minorHAnsi"/>
                <w:color w:val="000000"/>
                <w:sz w:val="20"/>
                <w:szCs w:val="20"/>
              </w:rPr>
            </w:pPr>
            <w:r>
              <w:rPr>
                <w:rFonts w:eastAsia="Times New Roman" w:cstheme="minorHAnsi"/>
                <w:color w:val="000000"/>
                <w:sz w:val="20"/>
                <w:szCs w:val="20"/>
              </w:rPr>
              <w:t>17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12F43" w14:textId="77777777" w:rsidR="001101D5"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Annual</w:t>
            </w:r>
            <w:r w:rsidR="001101D5" w:rsidRPr="00D04DA2">
              <w:rPr>
                <w:rFonts w:eastAsia="Times New Roman" w:cstheme="minorHAnsi"/>
                <w:color w:val="000000"/>
                <w:sz w:val="20"/>
                <w:szCs w:val="20"/>
              </w:rPr>
              <w:t>.</w:t>
            </w:r>
          </w:p>
          <w:p w14:paraId="13333D6E" w14:textId="77777777" w:rsidR="001101D5" w:rsidRPr="00D04DA2" w:rsidRDefault="001101D5" w:rsidP="00D04DA2">
            <w:pPr>
              <w:spacing w:after="0" w:line="240" w:lineRule="auto"/>
              <w:contextualSpacing/>
              <w:rPr>
                <w:rFonts w:eastAsia="Times New Roman" w:cstheme="minorHAnsi"/>
                <w:color w:val="000000"/>
                <w:sz w:val="20"/>
                <w:szCs w:val="20"/>
              </w:rPr>
            </w:pPr>
          </w:p>
          <w:p w14:paraId="64D9B91D" w14:textId="36C9D5A4" w:rsidR="005942B6" w:rsidRPr="00D04DA2" w:rsidRDefault="005942B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The indicator is published for 2007-2019.</w:t>
            </w:r>
          </w:p>
        </w:tc>
        <w:tc>
          <w:tcPr>
            <w:tcW w:w="1664" w:type="dxa"/>
            <w:tcBorders>
              <w:top w:val="single" w:sz="4" w:space="0" w:color="auto"/>
              <w:left w:val="nil"/>
              <w:bottom w:val="single" w:sz="4" w:space="0" w:color="auto"/>
              <w:right w:val="single" w:sz="4" w:space="0" w:color="auto"/>
            </w:tcBorders>
            <w:shd w:val="clear" w:color="auto" w:fill="auto"/>
          </w:tcPr>
          <w:p w14:paraId="05B9BFBC" w14:textId="304ACF8F" w:rsidR="00E5474F" w:rsidRPr="00D04DA2" w:rsidRDefault="00FA1285" w:rsidP="00D04DA2">
            <w:pPr>
              <w:spacing w:after="0" w:line="240" w:lineRule="auto"/>
              <w:contextualSpacing/>
              <w:rPr>
                <w:rFonts w:eastAsia="Times New Roman" w:cstheme="minorHAnsi"/>
                <w:color w:val="000000"/>
                <w:sz w:val="20"/>
                <w:szCs w:val="20"/>
              </w:rPr>
            </w:pPr>
            <w:hyperlink r:id="rId30">
              <w:r w:rsidR="00E5474F" w:rsidRPr="00D04DA2">
                <w:rPr>
                  <w:rStyle w:val="Hyperlink"/>
                  <w:rFonts w:eastAsia="Times New Roman" w:cstheme="minorHAnsi"/>
                  <w:sz w:val="20"/>
                  <w:szCs w:val="20"/>
                </w:rPr>
                <w:t>https://tcdata360.worldbank.org/indicators/gci?country=BRA&amp;indicator=631&amp;viz=line_chart&amp;years=2007,2017</w:t>
              </w:r>
            </w:hyperlink>
            <w:r w:rsidR="00E5474F" w:rsidRPr="00D04DA2">
              <w:rPr>
                <w:rFonts w:eastAsia="Times New Roman" w:cstheme="minorHAnsi"/>
                <w:color w:val="000000" w:themeColor="text1"/>
                <w:sz w:val="20"/>
                <w:szCs w:val="20"/>
              </w:rPr>
              <w:t xml:space="preserve"> </w:t>
            </w:r>
          </w:p>
          <w:p w14:paraId="4F32289D" w14:textId="5E2C73A1" w:rsidR="00CE7F36" w:rsidRPr="00D04DA2" w:rsidRDefault="00CE7F36" w:rsidP="00D04DA2">
            <w:pPr>
              <w:spacing w:after="0" w:line="240" w:lineRule="auto"/>
              <w:contextualSpacing/>
              <w:rPr>
                <w:rFonts w:eastAsia="Times New Roman" w:cstheme="minorHAnsi"/>
                <w:color w:val="000000"/>
                <w:sz w:val="20"/>
                <w:szCs w:val="20"/>
              </w:rPr>
            </w:pPr>
          </w:p>
          <w:p w14:paraId="567CD66E" w14:textId="03E4DA23" w:rsidR="00CE7F36" w:rsidRPr="00D04DA2" w:rsidRDefault="00CA3831" w:rsidP="00D04DA2">
            <w:pPr>
              <w:spacing w:after="0" w:line="240" w:lineRule="auto"/>
              <w:contextualSpacing/>
              <w:rPr>
                <w:rFonts w:eastAsia="Times New Roman" w:cstheme="minorHAnsi"/>
                <w:b/>
                <w:color w:val="FF0000"/>
                <w:sz w:val="20"/>
                <w:szCs w:val="20"/>
              </w:rPr>
            </w:pPr>
            <w:r w:rsidRPr="00D04DA2">
              <w:rPr>
                <w:rFonts w:eastAsia="Times New Roman" w:cstheme="minorHAnsi"/>
                <w:b/>
                <w:color w:val="FF0000"/>
                <w:sz w:val="20"/>
                <w:szCs w:val="20"/>
              </w:rPr>
              <w:t>Note t</w:t>
            </w:r>
            <w:r w:rsidR="00CE7F36" w:rsidRPr="00D04DA2">
              <w:rPr>
                <w:rFonts w:eastAsia="Times New Roman" w:cstheme="minorHAnsi"/>
                <w:b/>
                <w:color w:val="FF0000"/>
                <w:sz w:val="20"/>
                <w:szCs w:val="20"/>
              </w:rPr>
              <w:t>he original data underlying th</w:t>
            </w:r>
            <w:r w:rsidRPr="00D04DA2">
              <w:rPr>
                <w:rFonts w:eastAsia="Times New Roman" w:cstheme="minorHAnsi"/>
                <w:b/>
                <w:color w:val="FF0000"/>
                <w:sz w:val="20"/>
                <w:szCs w:val="20"/>
              </w:rPr>
              <w:t>is</w:t>
            </w:r>
            <w:r w:rsidR="00CE7F36" w:rsidRPr="00D04DA2">
              <w:rPr>
                <w:rFonts w:eastAsia="Times New Roman" w:cstheme="minorHAnsi"/>
                <w:b/>
                <w:color w:val="FF0000"/>
                <w:sz w:val="20"/>
                <w:szCs w:val="20"/>
              </w:rPr>
              <w:t xml:space="preserve"> indicator is available in PDF only:</w:t>
            </w:r>
          </w:p>
          <w:p w14:paraId="0F9F8832" w14:textId="49CAF7E9" w:rsidR="00426F27" w:rsidRPr="00D04DA2" w:rsidRDefault="00FA1285" w:rsidP="00D04DA2">
            <w:pPr>
              <w:spacing w:after="0" w:line="240" w:lineRule="auto"/>
              <w:contextualSpacing/>
              <w:rPr>
                <w:rFonts w:cstheme="minorHAnsi"/>
                <w:sz w:val="20"/>
                <w:szCs w:val="20"/>
              </w:rPr>
            </w:pPr>
            <w:hyperlink r:id="rId31" w:anchor="series=EOSQ097" w:history="1">
              <w:r w:rsidR="00426F27" w:rsidRPr="00D04DA2">
                <w:rPr>
                  <w:rStyle w:val="Hyperlink"/>
                  <w:rFonts w:cstheme="minorHAnsi"/>
                  <w:sz w:val="20"/>
                  <w:szCs w:val="20"/>
                </w:rPr>
                <w:t>http://reports.weforum.org/global-competitiveness-index-2017-2018/competitiveness-rankings/#series=EOSQ097</w:t>
              </w:r>
            </w:hyperlink>
          </w:p>
        </w:tc>
      </w:tr>
      <w:tr w:rsidR="00500C09" w:rsidRPr="00D04DA2" w14:paraId="362FA68B"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7667C35B" w14:textId="28B948D5" w:rsidR="00E5474F" w:rsidRPr="00D04DA2" w:rsidRDefault="003C52A6"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29</w:t>
            </w:r>
          </w:p>
        </w:tc>
        <w:tc>
          <w:tcPr>
            <w:tcW w:w="1341" w:type="dxa"/>
            <w:tcBorders>
              <w:top w:val="single" w:sz="4" w:space="0" w:color="auto"/>
              <w:left w:val="single" w:sz="4" w:space="0" w:color="auto"/>
              <w:bottom w:val="single" w:sz="4" w:space="0" w:color="auto"/>
              <w:right w:val="nil"/>
            </w:tcBorders>
            <w:shd w:val="clear" w:color="auto" w:fill="auto"/>
          </w:tcPr>
          <w:p w14:paraId="05BE795E"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742AFA3"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458EBA9" w14:textId="31042FED"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 xml:space="preserve">Protection of minority shareholders’ interests </w:t>
            </w:r>
            <w:r w:rsidR="00DE043D" w:rsidRPr="00D04DA2">
              <w:rPr>
                <w:rFonts w:eastAsia="Times New Roman" w:cstheme="minorHAnsi"/>
                <w:sz w:val="20"/>
                <w:szCs w:val="20"/>
              </w:rPr>
              <w:t>(Global Competitiveness Index)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559E83" w14:textId="28C8DBA7" w:rsidR="00E5474F" w:rsidRPr="00D04DA2" w:rsidRDefault="005633B7" w:rsidP="00D04DA2">
            <w:pPr>
              <w:spacing w:after="0" w:line="240" w:lineRule="auto"/>
              <w:contextualSpacing/>
              <w:rPr>
                <w:rFonts w:cstheme="minorHAnsi"/>
                <w:color w:val="000000"/>
                <w:sz w:val="20"/>
                <w:szCs w:val="20"/>
              </w:rPr>
            </w:pPr>
            <w:r w:rsidRPr="00D04DA2">
              <w:rPr>
                <w:rFonts w:cstheme="minorHAnsi"/>
                <w:color w:val="000000"/>
                <w:sz w:val="20"/>
                <w:szCs w:val="20"/>
              </w:rPr>
              <w:t>S</w:t>
            </w:r>
            <w:r w:rsidR="00E5474F" w:rsidRPr="00D04DA2">
              <w:rPr>
                <w:rFonts w:cstheme="minorHAnsi"/>
                <w:color w:val="000000"/>
                <w:sz w:val="20"/>
                <w:szCs w:val="20"/>
              </w:rPr>
              <w:t>core</w:t>
            </w:r>
            <w:r w:rsidR="001101D5" w:rsidRPr="00D04DA2">
              <w:rPr>
                <w:rFonts w:cstheme="minorHAnsi"/>
                <w:color w:val="000000"/>
                <w:sz w:val="20"/>
                <w:szCs w:val="20"/>
              </w:rPr>
              <w:t xml:space="preserve"> of 1-7</w:t>
            </w:r>
          </w:p>
          <w:p w14:paraId="59AF0BE9" w14:textId="59E7BB46" w:rsidR="00E5474F" w:rsidRPr="00D04DA2" w:rsidRDefault="005633B7" w:rsidP="00D04DA2">
            <w:pPr>
              <w:spacing w:after="0" w:line="240" w:lineRule="auto"/>
              <w:contextualSpacing/>
              <w:rPr>
                <w:rFonts w:cstheme="minorHAnsi"/>
                <w:color w:val="000000"/>
                <w:sz w:val="20"/>
                <w:szCs w:val="20"/>
              </w:rPr>
            </w:pPr>
            <w:r w:rsidRPr="00D04DA2">
              <w:rPr>
                <w:rFonts w:cstheme="minorHAnsi"/>
                <w:color w:val="000000"/>
                <w:sz w:val="20"/>
                <w:szCs w:val="20"/>
              </w:rPr>
              <w:t>(</w:t>
            </w:r>
            <w:r w:rsidR="002C31BD" w:rsidRPr="00D04DA2">
              <w:rPr>
                <w:rFonts w:cstheme="minorHAnsi"/>
                <w:color w:val="000000"/>
                <w:sz w:val="20"/>
                <w:szCs w:val="20"/>
              </w:rPr>
              <w:t xml:space="preserve">where </w:t>
            </w:r>
            <w:r w:rsidR="00E5474F" w:rsidRPr="00D04DA2">
              <w:rPr>
                <w:rFonts w:cstheme="minorHAnsi"/>
                <w:color w:val="000000"/>
                <w:sz w:val="20"/>
                <w:szCs w:val="20"/>
              </w:rPr>
              <w:t>1</w:t>
            </w:r>
            <w:r w:rsidRPr="00D04DA2">
              <w:rPr>
                <w:rFonts w:cstheme="minorHAnsi"/>
                <w:color w:val="000000"/>
                <w:sz w:val="20"/>
                <w:szCs w:val="20"/>
              </w:rPr>
              <w:t xml:space="preserve"> </w:t>
            </w:r>
            <w:r w:rsidR="002C31BD" w:rsidRPr="00D04DA2">
              <w:rPr>
                <w:rFonts w:cstheme="minorHAnsi"/>
                <w:color w:val="000000"/>
                <w:sz w:val="20"/>
                <w:szCs w:val="20"/>
              </w:rPr>
              <w:t>means</w:t>
            </w:r>
            <w:r w:rsidR="00E5474F" w:rsidRPr="00D04DA2">
              <w:rPr>
                <w:rFonts w:cstheme="minorHAnsi"/>
                <w:color w:val="000000"/>
                <w:sz w:val="20"/>
                <w:szCs w:val="20"/>
              </w:rPr>
              <w:t xml:space="preserve"> not protected</w:t>
            </w:r>
          </w:p>
          <w:p w14:paraId="2B68E175" w14:textId="2230926F"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at </w:t>
            </w:r>
            <w:proofErr w:type="gramStart"/>
            <w:r w:rsidRPr="00D04DA2">
              <w:rPr>
                <w:rFonts w:cstheme="minorHAnsi"/>
                <w:color w:val="000000"/>
                <w:sz w:val="20"/>
                <w:szCs w:val="20"/>
              </w:rPr>
              <w:t>all;</w:t>
            </w:r>
            <w:proofErr w:type="gramEnd"/>
            <w:r w:rsidRPr="00D04DA2">
              <w:rPr>
                <w:rFonts w:cstheme="minorHAnsi"/>
                <w:color w:val="000000"/>
                <w:sz w:val="20"/>
                <w:szCs w:val="20"/>
              </w:rPr>
              <w:t xml:space="preserve"> 7 </w:t>
            </w:r>
            <w:r w:rsidR="002C31BD" w:rsidRPr="00D04DA2">
              <w:rPr>
                <w:rFonts w:cstheme="minorHAnsi"/>
                <w:color w:val="000000"/>
                <w:sz w:val="20"/>
                <w:szCs w:val="20"/>
              </w:rPr>
              <w:t>means</w:t>
            </w:r>
            <w:r w:rsidRPr="00D04DA2">
              <w:rPr>
                <w:rFonts w:cstheme="minorHAnsi"/>
                <w:color w:val="000000"/>
                <w:sz w:val="20"/>
                <w:szCs w:val="20"/>
              </w:rPr>
              <w:t xml:space="preserve"> fully protected</w:t>
            </w:r>
            <w:r w:rsidR="005633B7"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19E09FC" w14:textId="6A7A7696"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World Economic Forum</w:t>
            </w:r>
            <w:r w:rsidR="00D15EB3">
              <w:rPr>
                <w:rFonts w:eastAsia="Times New Roman" w:cstheme="minorHAnsi"/>
                <w:color w:val="000000"/>
                <w:sz w:val="20"/>
                <w:szCs w:val="20"/>
              </w:rPr>
              <w:t xml:space="preserve"> - Global Competitiveness Report</w:t>
            </w:r>
          </w:p>
        </w:tc>
        <w:tc>
          <w:tcPr>
            <w:tcW w:w="1341" w:type="dxa"/>
            <w:tcBorders>
              <w:top w:val="single" w:sz="4" w:space="0" w:color="auto"/>
              <w:left w:val="nil"/>
              <w:bottom w:val="single" w:sz="4" w:space="0" w:color="auto"/>
              <w:right w:val="single" w:sz="4" w:space="0" w:color="auto"/>
            </w:tcBorders>
            <w:shd w:val="clear" w:color="auto" w:fill="auto"/>
          </w:tcPr>
          <w:p w14:paraId="56F2097F" w14:textId="69ED5C58" w:rsidR="00E5474F" w:rsidRPr="00D04DA2" w:rsidRDefault="00812A23"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0562E66" w14:textId="6F42B443" w:rsidR="005633B7" w:rsidRPr="00D04DA2" w:rsidRDefault="001F6E67" w:rsidP="00D04DA2">
            <w:pPr>
              <w:spacing w:after="0" w:line="240" w:lineRule="auto"/>
              <w:contextualSpacing/>
              <w:rPr>
                <w:rFonts w:eastAsia="Times New Roman" w:cstheme="minorHAnsi"/>
                <w:color w:val="000000" w:themeColor="text1"/>
                <w:sz w:val="20"/>
                <w:szCs w:val="20"/>
              </w:rPr>
            </w:pPr>
            <w:r w:rsidRPr="00D04DA2">
              <w:rPr>
                <w:rFonts w:eastAsia="Times New Roman" w:cstheme="minorHAnsi"/>
                <w:color w:val="000000" w:themeColor="text1"/>
                <w:sz w:val="20"/>
                <w:szCs w:val="20"/>
              </w:rPr>
              <w:t xml:space="preserve">The </w:t>
            </w:r>
            <w:r w:rsidR="00F04AD4" w:rsidRPr="00D04DA2">
              <w:rPr>
                <w:rFonts w:eastAsia="Times New Roman" w:cstheme="minorHAnsi"/>
                <w:color w:val="000000" w:themeColor="text1"/>
                <w:sz w:val="20"/>
                <w:szCs w:val="20"/>
              </w:rPr>
              <w:t>p</w:t>
            </w:r>
            <w:r w:rsidR="00E5474F" w:rsidRPr="00D04DA2">
              <w:rPr>
                <w:rFonts w:eastAsia="Times New Roman" w:cstheme="minorHAnsi"/>
                <w:color w:val="000000" w:themeColor="text1"/>
                <w:sz w:val="20"/>
                <w:szCs w:val="20"/>
              </w:rPr>
              <w:t xml:space="preserve">rotection of minority shareholders’ </w:t>
            </w:r>
            <w:proofErr w:type="gramStart"/>
            <w:r w:rsidR="00E5474F" w:rsidRPr="00D04DA2">
              <w:rPr>
                <w:rFonts w:eastAsia="Times New Roman" w:cstheme="minorHAnsi"/>
                <w:color w:val="000000" w:themeColor="text1"/>
                <w:sz w:val="20"/>
                <w:szCs w:val="20"/>
              </w:rPr>
              <w:t>interests</w:t>
            </w:r>
            <w:proofErr w:type="gramEnd"/>
            <w:r w:rsidR="00E5474F" w:rsidRPr="00D04DA2">
              <w:rPr>
                <w:rFonts w:eastAsia="Times New Roman" w:cstheme="minorHAnsi"/>
                <w:color w:val="000000" w:themeColor="text1"/>
                <w:sz w:val="20"/>
                <w:szCs w:val="20"/>
              </w:rPr>
              <w:t xml:space="preserve"> </w:t>
            </w:r>
            <w:r w:rsidR="00F04AD4" w:rsidRPr="00D04DA2">
              <w:rPr>
                <w:rFonts w:eastAsia="Times New Roman" w:cstheme="minorHAnsi"/>
                <w:color w:val="000000" w:themeColor="text1"/>
                <w:sz w:val="20"/>
                <w:szCs w:val="20"/>
              </w:rPr>
              <w:t>indicator</w:t>
            </w:r>
            <w:r w:rsidRPr="00D04DA2">
              <w:rPr>
                <w:rFonts w:eastAsia="Times New Roman" w:cstheme="minorHAnsi"/>
                <w:color w:val="000000" w:themeColor="text1"/>
                <w:sz w:val="20"/>
                <w:szCs w:val="20"/>
              </w:rPr>
              <w:t xml:space="preserve"> measures </w:t>
            </w:r>
            <w:r w:rsidR="0073229F" w:rsidRPr="00D04DA2">
              <w:rPr>
                <w:rFonts w:eastAsia="Times New Roman" w:cstheme="minorHAnsi"/>
                <w:color w:val="000000" w:themeColor="text1"/>
                <w:sz w:val="20"/>
                <w:szCs w:val="20"/>
              </w:rPr>
              <w:t xml:space="preserve">to what extent the interests of minority shareholders </w:t>
            </w:r>
            <w:r w:rsidR="00426F27" w:rsidRPr="00D04DA2">
              <w:rPr>
                <w:rFonts w:eastAsia="Times New Roman" w:cstheme="minorHAnsi"/>
                <w:color w:val="000000" w:themeColor="text1"/>
                <w:sz w:val="20"/>
                <w:szCs w:val="20"/>
              </w:rPr>
              <w:t xml:space="preserve">are </w:t>
            </w:r>
            <w:r w:rsidR="0073229F" w:rsidRPr="00D04DA2">
              <w:rPr>
                <w:rFonts w:eastAsia="Times New Roman" w:cstheme="minorHAnsi"/>
                <w:color w:val="000000" w:themeColor="text1"/>
                <w:sz w:val="20"/>
                <w:szCs w:val="20"/>
              </w:rPr>
              <w:t>protected by the legal system on a scale from 1 to 7.</w:t>
            </w:r>
          </w:p>
        </w:tc>
        <w:tc>
          <w:tcPr>
            <w:tcW w:w="1485" w:type="dxa"/>
            <w:tcBorders>
              <w:top w:val="single" w:sz="4" w:space="0" w:color="auto"/>
              <w:left w:val="single" w:sz="4" w:space="0" w:color="auto"/>
              <w:bottom w:val="single" w:sz="4" w:space="0" w:color="auto"/>
              <w:right w:val="single" w:sz="4" w:space="0" w:color="auto"/>
            </w:tcBorders>
          </w:tcPr>
          <w:p w14:paraId="07D531BA" w14:textId="07000F72" w:rsidR="00E5474F" w:rsidRPr="00D04DA2" w:rsidRDefault="00243C6B"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53EF344" w14:textId="119B2488"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076D57" w14:textId="1764F998"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1</w:t>
            </w:r>
            <w:r w:rsidR="00892674" w:rsidRPr="00D04DA2">
              <w:rPr>
                <w:rFonts w:eastAsia="Times New Roman" w:cstheme="minorHAnsi"/>
                <w:color w:val="000000"/>
                <w:sz w:val="20"/>
                <w:szCs w:val="20"/>
              </w:rPr>
              <w:t>52</w:t>
            </w:r>
            <w:r w:rsidRPr="00D04DA2">
              <w:rPr>
                <w:rFonts w:eastAsia="Times New Roman" w:cstheme="minorHAnsi"/>
                <w:color w:val="000000"/>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05EAD2D0" w14:textId="5015DA8F" w:rsidR="00E5474F" w:rsidRPr="00D04DA2" w:rsidRDefault="00CF0A89" w:rsidP="00D04DA2">
            <w:pPr>
              <w:spacing w:after="0" w:line="240" w:lineRule="auto"/>
              <w:contextualSpacing/>
              <w:rPr>
                <w:rFonts w:eastAsia="Times New Roman" w:cstheme="minorHAnsi"/>
                <w:color w:val="000000"/>
                <w:sz w:val="20"/>
                <w:szCs w:val="20"/>
              </w:rPr>
            </w:pPr>
            <w:r>
              <w:rPr>
                <w:rFonts w:eastAsia="Times New Roman" w:cstheme="minorHAnsi"/>
                <w:color w:val="000000"/>
                <w:sz w:val="20"/>
                <w:szCs w:val="20"/>
              </w:rPr>
              <w:t>17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4547A" w14:textId="370F9C0D" w:rsidR="00426F27"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themeColor="text1"/>
                <w:sz w:val="20"/>
                <w:szCs w:val="20"/>
              </w:rPr>
              <w:t>Annual</w:t>
            </w:r>
            <w:r w:rsidR="00426F27" w:rsidRPr="00D04DA2">
              <w:rPr>
                <w:rFonts w:eastAsia="Times New Roman" w:cstheme="minorHAnsi"/>
                <w:color w:val="000000" w:themeColor="text1"/>
                <w:sz w:val="20"/>
                <w:szCs w:val="20"/>
              </w:rPr>
              <w:t>.</w:t>
            </w:r>
          </w:p>
          <w:p w14:paraId="29289A51" w14:textId="370F9C0D" w:rsidR="00426F27" w:rsidRPr="00D04DA2" w:rsidRDefault="00426F27" w:rsidP="00D04DA2">
            <w:pPr>
              <w:spacing w:after="0" w:line="240" w:lineRule="auto"/>
              <w:contextualSpacing/>
              <w:rPr>
                <w:rFonts w:eastAsia="Times New Roman" w:cstheme="minorHAnsi"/>
                <w:color w:val="000000"/>
                <w:sz w:val="20"/>
                <w:szCs w:val="20"/>
              </w:rPr>
            </w:pPr>
          </w:p>
          <w:p w14:paraId="26FA8331" w14:textId="177CEEF7" w:rsidR="00DE043D" w:rsidRPr="00D04DA2" w:rsidRDefault="00DE043D"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themeColor="text1"/>
                <w:sz w:val="20"/>
                <w:szCs w:val="20"/>
              </w:rPr>
              <w:t>The indicator is published for 2007-201</w:t>
            </w:r>
            <w:r w:rsidR="00301469" w:rsidRPr="00D04DA2">
              <w:rPr>
                <w:rFonts w:eastAsia="Times New Roman" w:cstheme="minorHAnsi"/>
                <w:color w:val="000000" w:themeColor="text1"/>
                <w:sz w:val="20"/>
                <w:szCs w:val="20"/>
              </w:rPr>
              <w:t>8</w:t>
            </w:r>
            <w:r w:rsidRPr="00D04DA2">
              <w:rPr>
                <w:rFonts w:eastAsia="Times New Roman" w:cstheme="minorHAnsi"/>
                <w:color w:val="000000" w:themeColor="text1"/>
                <w:sz w:val="20"/>
                <w:szCs w:val="20"/>
              </w:rPr>
              <w:t>.</w:t>
            </w:r>
            <w:r w:rsidR="00D97FF0" w:rsidRPr="00D04DA2">
              <w:rPr>
                <w:rFonts w:eastAsia="Times New Roman" w:cstheme="minorHAnsi"/>
                <w:color w:val="000000" w:themeColor="text1"/>
                <w:sz w:val="20"/>
                <w:szCs w:val="20"/>
              </w:rPr>
              <w:t xml:space="preserve"> Note</w:t>
            </w:r>
            <w:r w:rsidR="000B4472" w:rsidRPr="00D04DA2">
              <w:rPr>
                <w:rFonts w:eastAsia="Times New Roman" w:cstheme="minorHAnsi"/>
                <w:color w:val="000000" w:themeColor="text1"/>
                <w:sz w:val="20"/>
                <w:szCs w:val="20"/>
              </w:rPr>
              <w:t xml:space="preserve"> </w:t>
            </w:r>
            <w:r w:rsidR="001D748B" w:rsidRPr="00D04DA2">
              <w:rPr>
                <w:rFonts w:eastAsia="Times New Roman" w:cstheme="minorHAnsi"/>
                <w:color w:val="000000" w:themeColor="text1"/>
                <w:sz w:val="20"/>
                <w:szCs w:val="20"/>
              </w:rPr>
              <w:t>in</w:t>
            </w:r>
            <w:r w:rsidR="000B4472" w:rsidRPr="00D04DA2">
              <w:rPr>
                <w:rFonts w:eastAsia="Times New Roman" w:cstheme="minorHAnsi"/>
                <w:color w:val="000000" w:themeColor="text1"/>
                <w:sz w:val="20"/>
                <w:szCs w:val="20"/>
              </w:rPr>
              <w:t xml:space="preserve"> 2018, </w:t>
            </w:r>
            <w:r w:rsidR="00D97FF0" w:rsidRPr="00D04DA2">
              <w:rPr>
                <w:rFonts w:cstheme="minorHAnsi"/>
                <w:sz w:val="20"/>
                <w:szCs w:val="20"/>
              </w:rPr>
              <w:t xml:space="preserve">components of DB </w:t>
            </w:r>
            <w:r w:rsidR="00537C58" w:rsidRPr="00D04DA2">
              <w:rPr>
                <w:rFonts w:cstheme="minorHAnsi"/>
                <w:sz w:val="20"/>
                <w:szCs w:val="20"/>
              </w:rPr>
              <w:t xml:space="preserve">are included </w:t>
            </w:r>
            <w:r w:rsidR="00D97FF0" w:rsidRPr="00D04DA2">
              <w:rPr>
                <w:rFonts w:cstheme="minorHAnsi"/>
                <w:sz w:val="20"/>
                <w:szCs w:val="20"/>
              </w:rPr>
              <w:t>in the underlying data</w:t>
            </w:r>
            <w:r w:rsidR="00537C58" w:rsidRPr="00D04DA2">
              <w:rPr>
                <w:rFonts w:cstheme="minorHAnsi"/>
                <w:sz w:val="20"/>
                <w:szCs w:val="20"/>
              </w:rPr>
              <w:t xml:space="preserve">, hence </w:t>
            </w:r>
            <w:r w:rsidR="00D4606B" w:rsidRPr="00D04DA2">
              <w:rPr>
                <w:rFonts w:cstheme="minorHAnsi"/>
                <w:sz w:val="20"/>
                <w:szCs w:val="20"/>
              </w:rPr>
              <w:t>2018</w:t>
            </w:r>
            <w:r w:rsidR="00432F27" w:rsidRPr="00D04DA2">
              <w:rPr>
                <w:rFonts w:cstheme="minorHAnsi"/>
                <w:sz w:val="20"/>
                <w:szCs w:val="20"/>
              </w:rPr>
              <w:t xml:space="preserve"> is not </w:t>
            </w:r>
            <w:r w:rsidR="00551FE4" w:rsidRPr="00D04DA2">
              <w:rPr>
                <w:rFonts w:cstheme="minorHAnsi"/>
                <w:sz w:val="20"/>
                <w:szCs w:val="20"/>
              </w:rPr>
              <w:t xml:space="preserve">included in the consolidated </w:t>
            </w:r>
            <w:r w:rsidR="0035466C" w:rsidRPr="00D04DA2">
              <w:rPr>
                <w:rFonts w:cstheme="minorHAnsi"/>
                <w:sz w:val="20"/>
                <w:szCs w:val="20"/>
              </w:rPr>
              <w:t>data</w:t>
            </w:r>
            <w:r w:rsidR="00551FE4" w:rsidRPr="00D04DA2">
              <w:rPr>
                <w:rFonts w:cstheme="minorHAnsi"/>
                <w:sz w:val="20"/>
                <w:szCs w:val="20"/>
              </w:rPr>
              <w:t>base.</w:t>
            </w:r>
          </w:p>
        </w:tc>
        <w:tc>
          <w:tcPr>
            <w:tcW w:w="1664" w:type="dxa"/>
            <w:tcBorders>
              <w:top w:val="single" w:sz="4" w:space="0" w:color="auto"/>
              <w:left w:val="nil"/>
              <w:bottom w:val="single" w:sz="4" w:space="0" w:color="auto"/>
              <w:right w:val="single" w:sz="4" w:space="0" w:color="auto"/>
            </w:tcBorders>
            <w:shd w:val="clear" w:color="auto" w:fill="auto"/>
          </w:tcPr>
          <w:p w14:paraId="62B35715" w14:textId="77777777" w:rsidR="00E5474F" w:rsidRPr="00D04DA2" w:rsidRDefault="00FA1285" w:rsidP="00D04DA2">
            <w:pPr>
              <w:spacing w:after="0" w:line="240" w:lineRule="auto"/>
              <w:contextualSpacing/>
              <w:rPr>
                <w:rFonts w:eastAsia="Times New Roman" w:cstheme="minorHAnsi"/>
                <w:color w:val="000000"/>
                <w:sz w:val="20"/>
                <w:szCs w:val="20"/>
              </w:rPr>
            </w:pPr>
            <w:hyperlink r:id="rId32" w:history="1">
              <w:r w:rsidR="00E5474F" w:rsidRPr="00D04DA2">
                <w:rPr>
                  <w:rStyle w:val="Hyperlink"/>
                  <w:rFonts w:eastAsia="Times New Roman" w:cstheme="minorHAnsi"/>
                  <w:sz w:val="20"/>
                  <w:szCs w:val="20"/>
                </w:rPr>
                <w:t>https://tcdata360.worldbank.org/indicators/gci?country=BRA&amp;indicator=631&amp;viz=line_chart&amp;years=2007,2017</w:t>
              </w:r>
            </w:hyperlink>
            <w:r w:rsidR="00E5474F" w:rsidRPr="00D04DA2">
              <w:rPr>
                <w:rFonts w:eastAsia="Times New Roman" w:cstheme="minorHAnsi"/>
                <w:color w:val="000000"/>
                <w:sz w:val="20"/>
                <w:szCs w:val="20"/>
              </w:rPr>
              <w:t xml:space="preserve"> </w:t>
            </w:r>
          </w:p>
          <w:p w14:paraId="1EB8E06F" w14:textId="77777777" w:rsidR="00C0788C" w:rsidRPr="00D04DA2" w:rsidRDefault="00C0788C" w:rsidP="00D04DA2">
            <w:pPr>
              <w:spacing w:after="0" w:line="240" w:lineRule="auto"/>
              <w:contextualSpacing/>
              <w:rPr>
                <w:rFonts w:eastAsia="Times New Roman" w:cstheme="minorHAnsi"/>
                <w:color w:val="000000"/>
                <w:sz w:val="20"/>
                <w:szCs w:val="20"/>
              </w:rPr>
            </w:pPr>
          </w:p>
          <w:p w14:paraId="7387A772" w14:textId="50F14CB2" w:rsidR="00426F27" w:rsidRPr="00D04DA2" w:rsidRDefault="00FA1285" w:rsidP="00D04DA2">
            <w:pPr>
              <w:spacing w:after="0" w:line="240" w:lineRule="auto"/>
              <w:contextualSpacing/>
              <w:rPr>
                <w:rFonts w:cstheme="minorHAnsi"/>
                <w:sz w:val="20"/>
                <w:szCs w:val="20"/>
              </w:rPr>
            </w:pPr>
            <w:hyperlink r:id="rId33" w:anchor="series=EOSQ098" w:history="1">
              <w:r w:rsidR="00426F27" w:rsidRPr="00D04DA2">
                <w:rPr>
                  <w:rStyle w:val="Hyperlink"/>
                  <w:rFonts w:cstheme="minorHAnsi"/>
                  <w:sz w:val="20"/>
                  <w:szCs w:val="20"/>
                </w:rPr>
                <w:t>http://reports.weforum.org/global-competitiveness-index-2017-2018/competitiveness-rankings/#series=EOSQ098</w:t>
              </w:r>
            </w:hyperlink>
          </w:p>
        </w:tc>
      </w:tr>
      <w:tr w:rsidR="00AA746C" w:rsidRPr="00D04DA2" w14:paraId="67484A3F" w14:textId="77777777" w:rsidTr="167C0426">
        <w:trPr>
          <w:trHeight w:val="3311"/>
        </w:trPr>
        <w:tc>
          <w:tcPr>
            <w:tcW w:w="510" w:type="dxa"/>
            <w:tcBorders>
              <w:top w:val="single" w:sz="4" w:space="0" w:color="auto"/>
              <w:left w:val="single" w:sz="4" w:space="0" w:color="auto"/>
              <w:bottom w:val="single" w:sz="4" w:space="0" w:color="auto"/>
              <w:right w:val="nil"/>
            </w:tcBorders>
            <w:shd w:val="clear" w:color="auto" w:fill="auto"/>
          </w:tcPr>
          <w:p w14:paraId="5D14EC26" w14:textId="161989FE" w:rsidR="00E5474F" w:rsidRPr="00D04DA2" w:rsidRDefault="00A14DD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w:t>
            </w:r>
            <w:r w:rsidR="003C52A6" w:rsidRPr="00D04DA2">
              <w:rPr>
                <w:rFonts w:cstheme="minorHAnsi"/>
                <w:color w:val="000000" w:themeColor="text1"/>
                <w:sz w:val="20"/>
                <w:szCs w:val="20"/>
              </w:rPr>
              <w:t>0</w:t>
            </w:r>
          </w:p>
        </w:tc>
        <w:tc>
          <w:tcPr>
            <w:tcW w:w="1341" w:type="dxa"/>
            <w:tcBorders>
              <w:top w:val="single" w:sz="4" w:space="0" w:color="auto"/>
              <w:left w:val="single" w:sz="4" w:space="0" w:color="auto"/>
              <w:bottom w:val="single" w:sz="4" w:space="0" w:color="auto"/>
              <w:right w:val="nil"/>
            </w:tcBorders>
            <w:shd w:val="clear" w:color="auto" w:fill="auto"/>
          </w:tcPr>
          <w:p w14:paraId="06B45CDA"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05AD203"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4737AD7B" w14:textId="3C1D7573"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 xml:space="preserve">Efficacy of corporate boards </w:t>
            </w:r>
            <w:r w:rsidR="00DE043D" w:rsidRPr="00D04DA2">
              <w:rPr>
                <w:rFonts w:eastAsia="Times New Roman" w:cstheme="minorHAnsi"/>
                <w:sz w:val="20"/>
                <w:szCs w:val="20"/>
              </w:rPr>
              <w:t>(Global Competitiveness Index)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073335" w14:textId="643C7167" w:rsidR="00E5474F" w:rsidRPr="00D04DA2" w:rsidRDefault="00F372F6" w:rsidP="00D04DA2">
            <w:pPr>
              <w:spacing w:after="0" w:line="240" w:lineRule="auto"/>
              <w:contextualSpacing/>
              <w:rPr>
                <w:rFonts w:cstheme="minorHAnsi"/>
                <w:color w:val="000000"/>
                <w:sz w:val="20"/>
                <w:szCs w:val="20"/>
              </w:rPr>
            </w:pPr>
            <w:r w:rsidRPr="00D04DA2">
              <w:rPr>
                <w:rFonts w:cstheme="minorHAnsi"/>
                <w:color w:val="000000"/>
                <w:sz w:val="20"/>
                <w:szCs w:val="20"/>
              </w:rPr>
              <w:t>Score</w:t>
            </w:r>
            <w:r w:rsidR="00AA746C" w:rsidRPr="00D04DA2">
              <w:rPr>
                <w:rFonts w:cstheme="minorHAnsi"/>
                <w:color w:val="000000"/>
                <w:sz w:val="20"/>
                <w:szCs w:val="20"/>
              </w:rPr>
              <w:t xml:space="preserve"> of 1-7</w:t>
            </w:r>
          </w:p>
          <w:p w14:paraId="354444D5" w14:textId="41B19D34" w:rsidR="00E5474F" w:rsidRPr="00D04DA2" w:rsidRDefault="00F372F6" w:rsidP="00D04DA2">
            <w:pPr>
              <w:spacing w:after="0" w:line="240" w:lineRule="auto"/>
              <w:contextualSpacing/>
              <w:rPr>
                <w:rFonts w:cstheme="minorHAnsi"/>
                <w:color w:val="000000"/>
                <w:sz w:val="20"/>
                <w:szCs w:val="20"/>
              </w:rPr>
            </w:pPr>
            <w:r w:rsidRPr="00D04DA2">
              <w:rPr>
                <w:rFonts w:cstheme="minorHAnsi"/>
                <w:color w:val="000000"/>
                <w:sz w:val="20"/>
                <w:szCs w:val="20"/>
              </w:rPr>
              <w:t>(</w:t>
            </w:r>
            <w:r w:rsidR="00376C62" w:rsidRPr="00D04DA2">
              <w:rPr>
                <w:rFonts w:cstheme="minorHAnsi"/>
                <w:color w:val="000000"/>
                <w:sz w:val="20"/>
                <w:szCs w:val="20"/>
              </w:rPr>
              <w:t xml:space="preserve">where </w:t>
            </w:r>
            <w:r w:rsidR="00E5474F" w:rsidRPr="00D04DA2">
              <w:rPr>
                <w:rFonts w:cstheme="minorHAnsi"/>
                <w:color w:val="000000"/>
                <w:sz w:val="20"/>
                <w:szCs w:val="20"/>
              </w:rPr>
              <w:t xml:space="preserve">1 </w:t>
            </w:r>
            <w:r w:rsidR="00376C62" w:rsidRPr="00D04DA2">
              <w:rPr>
                <w:rFonts w:cstheme="minorHAnsi"/>
                <w:color w:val="000000"/>
                <w:sz w:val="20"/>
                <w:szCs w:val="20"/>
              </w:rPr>
              <w:t>means</w:t>
            </w:r>
            <w:r w:rsidR="00E5474F" w:rsidRPr="00D04DA2">
              <w:rPr>
                <w:rFonts w:cstheme="minorHAnsi"/>
                <w:color w:val="000000"/>
                <w:sz w:val="20"/>
                <w:szCs w:val="20"/>
              </w:rPr>
              <w:t xml:space="preserve"> not at all; 7 </w:t>
            </w:r>
            <w:r w:rsidR="00376C62" w:rsidRPr="00D04DA2">
              <w:rPr>
                <w:rFonts w:cstheme="minorHAnsi"/>
                <w:color w:val="000000"/>
                <w:sz w:val="20"/>
                <w:szCs w:val="20"/>
              </w:rPr>
              <w:t>means</w:t>
            </w:r>
            <w:r w:rsidR="00E5474F" w:rsidRPr="00D04DA2">
              <w:rPr>
                <w:rFonts w:cstheme="minorHAnsi"/>
                <w:color w:val="000000"/>
                <w:sz w:val="20"/>
                <w:szCs w:val="20"/>
              </w:rPr>
              <w:t xml:space="preserve"> to a great</w:t>
            </w:r>
          </w:p>
          <w:p w14:paraId="17116B49" w14:textId="1C6692CF" w:rsidR="00E5474F" w:rsidRPr="00D04DA2" w:rsidRDefault="00376C62" w:rsidP="00D04DA2">
            <w:pPr>
              <w:spacing w:after="0" w:line="240" w:lineRule="auto"/>
              <w:contextualSpacing/>
              <w:rPr>
                <w:rFonts w:cstheme="minorHAnsi"/>
                <w:color w:val="000000"/>
                <w:sz w:val="20"/>
                <w:szCs w:val="20"/>
              </w:rPr>
            </w:pPr>
            <w:r w:rsidRPr="00D04DA2">
              <w:rPr>
                <w:rFonts w:cstheme="minorHAnsi"/>
                <w:color w:val="000000"/>
                <w:sz w:val="20"/>
                <w:szCs w:val="20"/>
              </w:rPr>
              <w:t>e</w:t>
            </w:r>
            <w:r w:rsidR="00E5474F" w:rsidRPr="00D04DA2">
              <w:rPr>
                <w:rFonts w:cstheme="minorHAnsi"/>
                <w:color w:val="000000"/>
                <w:sz w:val="20"/>
                <w:szCs w:val="20"/>
              </w:rPr>
              <w:t>xtent</w:t>
            </w:r>
            <w:r w:rsidR="00F372F6"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24D8313" w14:textId="7B985F4A"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World Economic Forum</w:t>
            </w:r>
            <w:r w:rsidR="008C7FFC">
              <w:rPr>
                <w:rFonts w:eastAsia="Times New Roman" w:cstheme="minorHAnsi"/>
                <w:color w:val="000000"/>
                <w:sz w:val="20"/>
                <w:szCs w:val="20"/>
              </w:rPr>
              <w:t xml:space="preserve"> - Global Competitiveness Report</w:t>
            </w:r>
          </w:p>
        </w:tc>
        <w:tc>
          <w:tcPr>
            <w:tcW w:w="1341" w:type="dxa"/>
            <w:tcBorders>
              <w:top w:val="single" w:sz="4" w:space="0" w:color="auto"/>
              <w:left w:val="nil"/>
              <w:bottom w:val="single" w:sz="4" w:space="0" w:color="auto"/>
              <w:right w:val="single" w:sz="4" w:space="0" w:color="auto"/>
            </w:tcBorders>
            <w:shd w:val="clear" w:color="auto" w:fill="auto"/>
          </w:tcPr>
          <w:p w14:paraId="42AA222E" w14:textId="63960DB6" w:rsidR="00E5474F" w:rsidRPr="00D04DA2" w:rsidRDefault="00A075A7" w:rsidP="00D04DA2">
            <w:pPr>
              <w:spacing w:after="0" w:line="240" w:lineRule="auto"/>
              <w:contextualSpacing/>
              <w:rPr>
                <w:rFonts w:cstheme="minorHAnsi"/>
                <w:color w:val="000000"/>
                <w:sz w:val="20"/>
                <w:szCs w:val="20"/>
              </w:rPr>
            </w:pPr>
            <w:r w:rsidRPr="00D04DA2">
              <w:rPr>
                <w:rFonts w:eastAsia="Calibri" w:cstheme="minorHAnsi"/>
                <w:color w:val="000000" w:themeColor="text1"/>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3EE13FB" w14:textId="351EDCAC" w:rsidR="00E5474F" w:rsidRPr="00D04DA2" w:rsidRDefault="0073229F" w:rsidP="00D04DA2">
            <w:pPr>
              <w:spacing w:after="0" w:line="240" w:lineRule="auto"/>
              <w:contextualSpacing/>
              <w:rPr>
                <w:rFonts w:eastAsia="Times New Roman" w:cstheme="minorHAnsi"/>
                <w:color w:val="000000" w:themeColor="text1"/>
                <w:sz w:val="20"/>
                <w:szCs w:val="20"/>
              </w:rPr>
            </w:pPr>
            <w:r w:rsidRPr="00D04DA2">
              <w:rPr>
                <w:rFonts w:eastAsia="Times New Roman" w:cstheme="minorHAnsi"/>
                <w:color w:val="000000"/>
                <w:sz w:val="20"/>
                <w:szCs w:val="20"/>
              </w:rPr>
              <w:t xml:space="preserve">The </w:t>
            </w:r>
            <w:r w:rsidR="00F372F6" w:rsidRPr="00D04DA2">
              <w:rPr>
                <w:rFonts w:eastAsia="Times New Roman" w:cstheme="minorHAnsi"/>
                <w:color w:val="000000"/>
                <w:sz w:val="20"/>
                <w:szCs w:val="20"/>
              </w:rPr>
              <w:t>e</w:t>
            </w:r>
            <w:r w:rsidR="00E5474F" w:rsidRPr="00D04DA2">
              <w:rPr>
                <w:rFonts w:eastAsia="Times New Roman" w:cstheme="minorHAnsi"/>
                <w:color w:val="000000" w:themeColor="text1"/>
                <w:sz w:val="20"/>
                <w:szCs w:val="20"/>
              </w:rPr>
              <w:t xml:space="preserve">fficacy of corporate boards </w:t>
            </w:r>
            <w:r w:rsidR="00F372F6" w:rsidRPr="00D04DA2">
              <w:rPr>
                <w:rFonts w:eastAsia="Times New Roman" w:cstheme="minorHAnsi"/>
                <w:color w:val="000000" w:themeColor="text1"/>
                <w:sz w:val="20"/>
                <w:szCs w:val="20"/>
              </w:rPr>
              <w:t>indicator</w:t>
            </w:r>
            <w:r w:rsidR="00731BE3" w:rsidRPr="00D04DA2">
              <w:rPr>
                <w:rFonts w:eastAsia="Times New Roman" w:cstheme="minorHAnsi"/>
                <w:color w:val="000000" w:themeColor="text1"/>
                <w:sz w:val="20"/>
                <w:szCs w:val="20"/>
              </w:rPr>
              <w:t xml:space="preserve"> measures to what extent is management accountable to investors and boards of directors on a scale from 1 to 7.</w:t>
            </w:r>
          </w:p>
        </w:tc>
        <w:tc>
          <w:tcPr>
            <w:tcW w:w="1485" w:type="dxa"/>
            <w:tcBorders>
              <w:top w:val="single" w:sz="4" w:space="0" w:color="auto"/>
              <w:left w:val="single" w:sz="4" w:space="0" w:color="auto"/>
              <w:bottom w:val="single" w:sz="4" w:space="0" w:color="auto"/>
              <w:right w:val="single" w:sz="4" w:space="0" w:color="auto"/>
            </w:tcBorders>
          </w:tcPr>
          <w:p w14:paraId="1430E2C0" w14:textId="33DB9786" w:rsidR="00E5474F" w:rsidRPr="00D04DA2" w:rsidRDefault="00243C6B"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F8152C9" w14:textId="54BA8FF1"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51B141" w14:textId="0E58013E" w:rsidR="00E5474F" w:rsidRPr="00D04DA2" w:rsidRDefault="00E5474F"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1</w:t>
            </w:r>
            <w:r w:rsidR="00B83F62" w:rsidRPr="00D04DA2">
              <w:rPr>
                <w:rFonts w:eastAsia="Times New Roman" w:cstheme="minorHAnsi"/>
                <w:color w:val="000000"/>
                <w:sz w:val="20"/>
                <w:szCs w:val="20"/>
              </w:rPr>
              <w:t>52</w:t>
            </w:r>
            <w:r w:rsidRPr="00D04DA2">
              <w:rPr>
                <w:rFonts w:eastAsia="Times New Roman" w:cstheme="minorHAnsi"/>
                <w:color w:val="000000"/>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5A91BED7" w14:textId="69DE17BD" w:rsidR="00E5474F" w:rsidRPr="00D04DA2" w:rsidRDefault="00CF0A89" w:rsidP="00D04DA2">
            <w:pPr>
              <w:spacing w:after="0" w:line="240" w:lineRule="auto"/>
              <w:contextualSpacing/>
              <w:rPr>
                <w:rFonts w:eastAsia="Times New Roman" w:cstheme="minorHAnsi"/>
                <w:color w:val="000000"/>
                <w:sz w:val="20"/>
                <w:szCs w:val="20"/>
              </w:rPr>
            </w:pPr>
            <w:r>
              <w:rPr>
                <w:rFonts w:eastAsia="Times New Roman" w:cstheme="minorHAnsi"/>
                <w:color w:val="000000"/>
                <w:sz w:val="20"/>
                <w:szCs w:val="20"/>
              </w:rPr>
              <w:t>17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91F8A2" w14:textId="77777777" w:rsidR="00AA746C"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Annual</w:t>
            </w:r>
            <w:r w:rsidR="00AA746C" w:rsidRPr="00D04DA2">
              <w:rPr>
                <w:rFonts w:eastAsia="Times New Roman" w:cstheme="minorHAnsi"/>
                <w:color w:val="000000"/>
                <w:sz w:val="20"/>
                <w:szCs w:val="20"/>
              </w:rPr>
              <w:t>.</w:t>
            </w:r>
          </w:p>
          <w:p w14:paraId="4334432B" w14:textId="77777777" w:rsidR="00AA746C" w:rsidRPr="00D04DA2" w:rsidRDefault="00AA746C" w:rsidP="00D04DA2">
            <w:pPr>
              <w:spacing w:after="0" w:line="240" w:lineRule="auto"/>
              <w:contextualSpacing/>
              <w:rPr>
                <w:rFonts w:eastAsia="Times New Roman" w:cstheme="minorHAnsi"/>
                <w:color w:val="000000"/>
                <w:sz w:val="20"/>
                <w:szCs w:val="20"/>
              </w:rPr>
            </w:pPr>
          </w:p>
          <w:p w14:paraId="4C09C1FC" w14:textId="30D5FDB3" w:rsidR="006446C9" w:rsidRPr="00D04DA2" w:rsidRDefault="006446C9"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The indicator is published for 2007-201</w:t>
            </w:r>
            <w:r w:rsidR="00D4606B" w:rsidRPr="00D04DA2">
              <w:rPr>
                <w:rFonts w:eastAsia="Times New Roman" w:cstheme="minorHAnsi"/>
                <w:color w:val="000000"/>
                <w:sz w:val="20"/>
                <w:szCs w:val="20"/>
              </w:rPr>
              <w:t>8</w:t>
            </w:r>
            <w:r w:rsidRPr="00D04DA2">
              <w:rPr>
                <w:rFonts w:eastAsia="Times New Roman" w:cstheme="minorHAnsi"/>
                <w:color w:val="000000"/>
                <w:sz w:val="20"/>
                <w:szCs w:val="20"/>
              </w:rPr>
              <w:t>.</w:t>
            </w:r>
            <w:r w:rsidR="002E29E3" w:rsidRPr="00D04DA2">
              <w:rPr>
                <w:rFonts w:cstheme="minorHAnsi"/>
                <w:sz w:val="20"/>
                <w:szCs w:val="20"/>
              </w:rPr>
              <w:t xml:space="preserve"> </w:t>
            </w:r>
            <w:r w:rsidR="002E29E3" w:rsidRPr="00D04DA2">
              <w:rPr>
                <w:rFonts w:eastAsia="Times New Roman" w:cstheme="minorHAnsi"/>
                <w:color w:val="000000"/>
                <w:sz w:val="20"/>
                <w:szCs w:val="20"/>
              </w:rPr>
              <w:t xml:space="preserve">Note in 2018, components of DB are included in the underlying data, hence </w:t>
            </w:r>
            <w:r w:rsidR="00D4606B" w:rsidRPr="00D04DA2">
              <w:rPr>
                <w:rFonts w:eastAsia="Times New Roman" w:cstheme="minorHAnsi"/>
                <w:color w:val="000000"/>
                <w:sz w:val="20"/>
                <w:szCs w:val="20"/>
              </w:rPr>
              <w:t>2018</w:t>
            </w:r>
            <w:r w:rsidR="002E29E3" w:rsidRPr="00D04DA2">
              <w:rPr>
                <w:rFonts w:eastAsia="Times New Roman" w:cstheme="minorHAnsi"/>
                <w:color w:val="000000"/>
                <w:sz w:val="20"/>
                <w:szCs w:val="20"/>
              </w:rPr>
              <w:t xml:space="preserve"> is not included in the consolidated database.</w:t>
            </w:r>
          </w:p>
        </w:tc>
        <w:tc>
          <w:tcPr>
            <w:tcW w:w="1664" w:type="dxa"/>
            <w:tcBorders>
              <w:top w:val="single" w:sz="4" w:space="0" w:color="auto"/>
              <w:left w:val="nil"/>
              <w:bottom w:val="single" w:sz="4" w:space="0" w:color="auto"/>
              <w:right w:val="single" w:sz="4" w:space="0" w:color="auto"/>
            </w:tcBorders>
            <w:shd w:val="clear" w:color="auto" w:fill="auto"/>
          </w:tcPr>
          <w:p w14:paraId="02FC8CEB" w14:textId="77777777" w:rsidR="00E5474F" w:rsidRPr="00D04DA2" w:rsidRDefault="00FA1285" w:rsidP="00D04DA2">
            <w:pPr>
              <w:spacing w:after="0" w:line="240" w:lineRule="auto"/>
              <w:contextualSpacing/>
              <w:rPr>
                <w:rFonts w:eastAsia="Times New Roman" w:cstheme="minorHAnsi"/>
                <w:color w:val="000000"/>
                <w:sz w:val="20"/>
                <w:szCs w:val="20"/>
              </w:rPr>
            </w:pPr>
            <w:hyperlink r:id="rId34" w:history="1">
              <w:r w:rsidR="00E5474F" w:rsidRPr="00D04DA2">
                <w:rPr>
                  <w:rStyle w:val="Hyperlink"/>
                  <w:rFonts w:eastAsia="Times New Roman" w:cstheme="minorHAnsi"/>
                  <w:sz w:val="20"/>
                  <w:szCs w:val="20"/>
                </w:rPr>
                <w:t>https://tcdata360.worldbank.org/indicators/gci?country=BRA&amp;indicator=631&amp;viz=line_chart&amp;years=2007,2017</w:t>
              </w:r>
            </w:hyperlink>
            <w:r w:rsidR="00E5474F" w:rsidRPr="00D04DA2">
              <w:rPr>
                <w:rFonts w:eastAsia="Times New Roman" w:cstheme="minorHAnsi"/>
                <w:color w:val="000000"/>
                <w:sz w:val="20"/>
                <w:szCs w:val="20"/>
              </w:rPr>
              <w:t xml:space="preserve"> </w:t>
            </w:r>
          </w:p>
          <w:p w14:paraId="59C60FAF" w14:textId="77777777" w:rsidR="00F473F3" w:rsidRPr="00D04DA2" w:rsidRDefault="00F473F3" w:rsidP="00D04DA2">
            <w:pPr>
              <w:spacing w:after="0" w:line="240" w:lineRule="auto"/>
              <w:contextualSpacing/>
              <w:rPr>
                <w:rFonts w:eastAsia="Times New Roman" w:cstheme="minorHAnsi"/>
                <w:color w:val="000000"/>
                <w:sz w:val="20"/>
                <w:szCs w:val="20"/>
              </w:rPr>
            </w:pPr>
          </w:p>
          <w:p w14:paraId="2D63C34E" w14:textId="16FB452E" w:rsidR="00F372F6" w:rsidRPr="00D04DA2" w:rsidRDefault="00FA1285" w:rsidP="00D04DA2">
            <w:pPr>
              <w:spacing w:after="0" w:line="240" w:lineRule="auto"/>
              <w:contextualSpacing/>
              <w:rPr>
                <w:rFonts w:cstheme="minorHAnsi"/>
                <w:sz w:val="20"/>
                <w:szCs w:val="20"/>
              </w:rPr>
            </w:pPr>
            <w:hyperlink r:id="rId35" w:anchor="series=EOSQ127" w:history="1">
              <w:r w:rsidR="00F372F6" w:rsidRPr="00D04DA2">
                <w:rPr>
                  <w:rStyle w:val="Hyperlink"/>
                  <w:rFonts w:cstheme="minorHAnsi"/>
                  <w:sz w:val="20"/>
                  <w:szCs w:val="20"/>
                </w:rPr>
                <w:t>http://reports.weforum.org/global-competitiveness-index-2017-2018/competitiveness-rankings/#series=EOSQ127</w:t>
              </w:r>
            </w:hyperlink>
          </w:p>
        </w:tc>
      </w:tr>
      <w:tr w:rsidR="003C52A6" w:rsidRPr="00D04DA2" w14:paraId="7B3FBE55" w14:textId="77777777" w:rsidTr="00571FD6">
        <w:trPr>
          <w:trHeight w:val="2123"/>
        </w:trPr>
        <w:tc>
          <w:tcPr>
            <w:tcW w:w="510" w:type="dxa"/>
            <w:tcBorders>
              <w:top w:val="single" w:sz="4" w:space="0" w:color="auto"/>
              <w:left w:val="single" w:sz="4" w:space="0" w:color="auto"/>
              <w:bottom w:val="single" w:sz="4" w:space="0" w:color="auto"/>
              <w:right w:val="nil"/>
            </w:tcBorders>
            <w:shd w:val="clear" w:color="auto" w:fill="auto"/>
          </w:tcPr>
          <w:p w14:paraId="1E90DFEB" w14:textId="7095C13B" w:rsidR="003C52A6" w:rsidRPr="00D04DA2" w:rsidRDefault="003C52A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31</w:t>
            </w:r>
          </w:p>
        </w:tc>
        <w:tc>
          <w:tcPr>
            <w:tcW w:w="1341" w:type="dxa"/>
            <w:tcBorders>
              <w:top w:val="single" w:sz="4" w:space="0" w:color="auto"/>
              <w:left w:val="single" w:sz="4" w:space="0" w:color="auto"/>
              <w:bottom w:val="single" w:sz="4" w:space="0" w:color="auto"/>
              <w:right w:val="nil"/>
            </w:tcBorders>
            <w:shd w:val="clear" w:color="auto" w:fill="auto"/>
          </w:tcPr>
          <w:p w14:paraId="36EB04A0" w14:textId="6EA584BC" w:rsidR="003C52A6" w:rsidRPr="00D04DA2" w:rsidRDefault="003C52A6" w:rsidP="00D04DA2">
            <w:pPr>
              <w:spacing w:after="0" w:line="240" w:lineRule="auto"/>
              <w:contextualSpacing/>
              <w:rPr>
                <w:rFonts w:cstheme="minorHAnsi"/>
                <w:sz w:val="20"/>
                <w:szCs w:val="20"/>
              </w:rPr>
            </w:pPr>
            <w:r w:rsidRPr="00D04DA2">
              <w:rPr>
                <w:rFonts w:cstheme="minorHAnsi"/>
                <w:color w:val="000000"/>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11D4830" w14:textId="5EE20706" w:rsidR="003C52A6" w:rsidRPr="00D04DA2" w:rsidRDefault="003C52A6" w:rsidP="00D04DA2">
            <w:pPr>
              <w:spacing w:after="0" w:line="240" w:lineRule="auto"/>
              <w:contextualSpacing/>
              <w:rPr>
                <w:rFonts w:cstheme="minorHAnsi"/>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0B674005" w14:textId="20344C38" w:rsidR="003C52A6" w:rsidRPr="00D04DA2" w:rsidRDefault="003C52A6" w:rsidP="00D04DA2">
            <w:pPr>
              <w:spacing w:after="0" w:line="240" w:lineRule="auto"/>
              <w:contextualSpacing/>
              <w:rPr>
                <w:rFonts w:eastAsia="Times New Roman" w:cstheme="minorHAnsi"/>
                <w:sz w:val="20"/>
                <w:szCs w:val="20"/>
              </w:rPr>
            </w:pPr>
            <w:r w:rsidRPr="00D04DA2">
              <w:rPr>
                <w:rFonts w:eastAsia="Times New Roman" w:cstheme="minorHAnsi"/>
                <w:color w:val="000000"/>
                <w:sz w:val="20"/>
                <w:szCs w:val="20"/>
              </w:rPr>
              <w:t>Listed domestic companies, total (World Development Indicator)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FA68F" w14:textId="115CCE6C" w:rsidR="003C52A6" w:rsidRPr="00D04DA2" w:rsidRDefault="003C52A6"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Number of companies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A756BE7" w14:textId="3067C30D"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World Federation of Exchanges</w:t>
            </w:r>
          </w:p>
        </w:tc>
        <w:tc>
          <w:tcPr>
            <w:tcW w:w="1341" w:type="dxa"/>
            <w:tcBorders>
              <w:top w:val="single" w:sz="4" w:space="0" w:color="auto"/>
              <w:left w:val="nil"/>
              <w:bottom w:val="single" w:sz="4" w:space="0" w:color="auto"/>
              <w:right w:val="single" w:sz="4" w:space="0" w:color="auto"/>
            </w:tcBorders>
            <w:shd w:val="clear" w:color="auto" w:fill="auto"/>
          </w:tcPr>
          <w:p w14:paraId="65B96059" w14:textId="70922890" w:rsidR="003C52A6" w:rsidRPr="00D04DA2" w:rsidRDefault="003C52A6" w:rsidP="00D04DA2">
            <w:pPr>
              <w:spacing w:after="0" w:line="240" w:lineRule="auto"/>
              <w:contextualSpacing/>
              <w:rPr>
                <w:rFonts w:eastAsia="Times New Roman" w:cstheme="minorHAnsi"/>
                <w:color w:val="000000"/>
                <w:sz w:val="20"/>
                <w:szCs w:val="20"/>
              </w:rPr>
            </w:pPr>
            <w:r w:rsidRPr="00D04DA2">
              <w:rPr>
                <w:rFonts w:cstheme="minorHAnsi"/>
                <w:color w:val="000000"/>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A6206AF" w14:textId="77777777"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A company is considered domestic when it is incorporated in the same country as where the exchange is located.</w:t>
            </w:r>
          </w:p>
          <w:p w14:paraId="5DA74323" w14:textId="77777777" w:rsidR="003C52A6" w:rsidRPr="00D04DA2" w:rsidRDefault="003C52A6" w:rsidP="00D04DA2">
            <w:pPr>
              <w:spacing w:after="0" w:line="240" w:lineRule="auto"/>
              <w:contextualSpacing/>
              <w:rPr>
                <w:rFonts w:eastAsia="Times New Roman" w:cstheme="minorHAnsi"/>
                <w:color w:val="000000"/>
                <w:sz w:val="20"/>
                <w:szCs w:val="20"/>
              </w:rPr>
            </w:pPr>
          </w:p>
          <w:p w14:paraId="13B21199" w14:textId="74C76E34"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Listed domestic companies, including foreign companies which are exclusively listed, are those which have shares listed on an exchange at the end of the year.</w:t>
            </w:r>
            <w:r w:rsidRPr="00D04DA2" w:rsidDel="0062379C">
              <w:rPr>
                <w:rFonts w:eastAsia="Times New Roman" w:cstheme="minorHAnsi"/>
                <w:color w:val="000000"/>
                <w:sz w:val="20"/>
                <w:szCs w:val="20"/>
              </w:rPr>
              <w:t xml:space="preserve"> Investment funds, unit trusts, and companies whose only business goal is to hold shares of other listed companies, such as holding companies and investment companies, regardless of their legal status, are excluded</w:t>
            </w:r>
            <w:r w:rsidRPr="00D04DA2">
              <w:rPr>
                <w:rFonts w:eastAsia="Times New Roman" w:cstheme="minorHAnsi"/>
                <w:color w:val="000000"/>
                <w:sz w:val="20"/>
                <w:szCs w:val="20"/>
              </w:rPr>
              <w:t xml:space="preserve">. A company with several classes of shares is counted once. </w:t>
            </w:r>
            <w:r w:rsidRPr="00D04DA2" w:rsidDel="0062379C">
              <w:rPr>
                <w:rFonts w:eastAsia="Times New Roman" w:cstheme="minorHAnsi"/>
                <w:color w:val="000000"/>
                <w:sz w:val="20"/>
                <w:szCs w:val="20"/>
              </w:rPr>
              <w:t>Only companies admitted to listing on the exchange are included.</w:t>
            </w:r>
          </w:p>
        </w:tc>
        <w:tc>
          <w:tcPr>
            <w:tcW w:w="1485" w:type="dxa"/>
            <w:tcBorders>
              <w:top w:val="single" w:sz="4" w:space="0" w:color="auto"/>
              <w:left w:val="single" w:sz="4" w:space="0" w:color="auto"/>
              <w:bottom w:val="single" w:sz="4" w:space="0" w:color="auto"/>
              <w:right w:val="single" w:sz="4" w:space="0" w:color="auto"/>
            </w:tcBorders>
          </w:tcPr>
          <w:p w14:paraId="3159D733" w14:textId="21DBAE96"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EA19757" w14:textId="03C58757"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37E04F" w14:textId="17B28E6F"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100 economies</w:t>
            </w:r>
          </w:p>
        </w:tc>
        <w:tc>
          <w:tcPr>
            <w:tcW w:w="1418" w:type="dxa"/>
            <w:tcBorders>
              <w:top w:val="single" w:sz="4" w:space="0" w:color="auto"/>
              <w:left w:val="nil"/>
              <w:bottom w:val="single" w:sz="4" w:space="0" w:color="auto"/>
              <w:right w:val="single" w:sz="4" w:space="0" w:color="auto"/>
            </w:tcBorders>
          </w:tcPr>
          <w:p w14:paraId="12A532A2" w14:textId="727B8A6D" w:rsidR="003C52A6" w:rsidRPr="00D04DA2" w:rsidRDefault="00340D99" w:rsidP="00D04DA2">
            <w:pPr>
              <w:spacing w:after="0" w:line="240" w:lineRule="auto"/>
              <w:contextualSpacing/>
              <w:rPr>
                <w:rFonts w:eastAsia="Times New Roman" w:cstheme="minorHAnsi"/>
                <w:color w:val="000000"/>
                <w:sz w:val="20"/>
                <w:szCs w:val="20"/>
              </w:rPr>
            </w:pPr>
            <w:r>
              <w:rPr>
                <w:rFonts w:eastAsia="Times New Roman" w:cstheme="minorHAnsi"/>
                <w:color w:val="000000"/>
                <w:sz w:val="20"/>
                <w:szCs w:val="20"/>
              </w:rPr>
              <w:t>1 economy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795EFC" w14:textId="77777777" w:rsidR="003C52A6" w:rsidRPr="00D04DA2" w:rsidRDefault="003C52A6"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Annual.</w:t>
            </w:r>
          </w:p>
          <w:p w14:paraId="393DCF26" w14:textId="77777777" w:rsidR="003C52A6" w:rsidRPr="00D04DA2" w:rsidRDefault="003C52A6" w:rsidP="00D04DA2">
            <w:pPr>
              <w:spacing w:after="0" w:line="240" w:lineRule="auto"/>
              <w:contextualSpacing/>
              <w:rPr>
                <w:rFonts w:eastAsia="Times New Roman" w:cstheme="minorHAnsi"/>
                <w:color w:val="000000"/>
                <w:sz w:val="20"/>
                <w:szCs w:val="20"/>
              </w:rPr>
            </w:pPr>
          </w:p>
          <w:p w14:paraId="6694351C" w14:textId="1340CA56" w:rsidR="003C52A6" w:rsidRPr="00D04DA2" w:rsidRDefault="003C52A6" w:rsidP="00D04DA2">
            <w:pPr>
              <w:spacing w:after="0" w:line="240" w:lineRule="auto"/>
              <w:contextualSpacing/>
              <w:rPr>
                <w:rFonts w:eastAsia="Times New Roman" w:cstheme="minorHAnsi"/>
                <w:color w:val="000000"/>
                <w:sz w:val="20"/>
                <w:szCs w:val="20"/>
              </w:rPr>
            </w:pPr>
            <w:r w:rsidRPr="00D04DA2">
              <w:rPr>
                <w:rFonts w:cstheme="minorHAnsi"/>
                <w:color w:val="000000" w:themeColor="text1"/>
                <w:sz w:val="20"/>
                <w:szCs w:val="20"/>
              </w:rPr>
              <w:t>The indicator is published for 1975-2020</w:t>
            </w:r>
            <w:r w:rsidRPr="00D04DA2">
              <w:rPr>
                <w:rFonts w:eastAsia="Times New Roman" w:cstheme="minorHAnsi"/>
                <w:color w:val="000000"/>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tcPr>
          <w:p w14:paraId="5EC65F38" w14:textId="379EFD70" w:rsidR="003C52A6" w:rsidRPr="00D04DA2" w:rsidRDefault="00FA1285" w:rsidP="00D04DA2">
            <w:pPr>
              <w:spacing w:after="0" w:line="240" w:lineRule="auto"/>
              <w:contextualSpacing/>
              <w:rPr>
                <w:rFonts w:cstheme="minorHAnsi"/>
                <w:sz w:val="20"/>
                <w:szCs w:val="20"/>
              </w:rPr>
            </w:pPr>
            <w:hyperlink r:id="rId36" w:history="1">
              <w:r w:rsidR="003C52A6" w:rsidRPr="00D04DA2">
                <w:rPr>
                  <w:rStyle w:val="Hyperlink"/>
                  <w:rFonts w:eastAsia="Times New Roman" w:cstheme="minorHAnsi"/>
                  <w:sz w:val="20"/>
                  <w:szCs w:val="20"/>
                </w:rPr>
                <w:t>https://data.worldbank.org/indicator/CM.MKT.LDOM.NO</w:t>
              </w:r>
            </w:hyperlink>
            <w:r w:rsidR="003C52A6" w:rsidRPr="00D04DA2">
              <w:rPr>
                <w:rFonts w:eastAsia="Times New Roman" w:cstheme="minorHAnsi"/>
                <w:color w:val="000000"/>
                <w:sz w:val="20"/>
                <w:szCs w:val="20"/>
              </w:rPr>
              <w:t xml:space="preserve"> </w:t>
            </w:r>
          </w:p>
        </w:tc>
      </w:tr>
      <w:tr w:rsidR="00500C09" w:rsidRPr="00D04DA2" w14:paraId="7EC15AD6"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5B553498" w14:textId="320E3368"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3</w:t>
            </w:r>
            <w:r w:rsidR="44F05E44" w:rsidRPr="00D04DA2">
              <w:rPr>
                <w:rFonts w:cstheme="minorHAnsi"/>
                <w:color w:val="000000" w:themeColor="text1"/>
                <w:sz w:val="20"/>
                <w:szCs w:val="20"/>
              </w:rPr>
              <w:t>2</w:t>
            </w:r>
          </w:p>
        </w:tc>
        <w:tc>
          <w:tcPr>
            <w:tcW w:w="1341" w:type="dxa"/>
            <w:tcBorders>
              <w:top w:val="single" w:sz="4" w:space="0" w:color="auto"/>
              <w:left w:val="single" w:sz="4" w:space="0" w:color="auto"/>
              <w:bottom w:val="single" w:sz="4" w:space="0" w:color="auto"/>
              <w:right w:val="nil"/>
            </w:tcBorders>
            <w:shd w:val="clear" w:color="auto" w:fill="auto"/>
          </w:tcPr>
          <w:p w14:paraId="6ECF7FA9"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9616B6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196350AD" w14:textId="4FE48AE1"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OECD Corporate </w:t>
            </w:r>
            <w:r w:rsidR="00AA746C" w:rsidRPr="00D04DA2">
              <w:rPr>
                <w:rFonts w:cstheme="minorHAnsi"/>
                <w:color w:val="000000" w:themeColor="text1"/>
                <w:sz w:val="20"/>
                <w:szCs w:val="20"/>
              </w:rPr>
              <w:t>G</w:t>
            </w:r>
            <w:r w:rsidRPr="00D04DA2">
              <w:rPr>
                <w:rFonts w:cstheme="minorHAnsi"/>
                <w:color w:val="000000" w:themeColor="text1"/>
                <w:sz w:val="20"/>
                <w:szCs w:val="20"/>
              </w:rPr>
              <w:t xml:space="preserve">overnance </w:t>
            </w:r>
            <w:r w:rsidR="00AA746C" w:rsidRPr="00D04DA2">
              <w:rPr>
                <w:rFonts w:cstheme="minorHAnsi"/>
                <w:color w:val="000000" w:themeColor="text1"/>
                <w:sz w:val="20"/>
                <w:szCs w:val="20"/>
              </w:rPr>
              <w:t>F</w:t>
            </w:r>
            <w:r w:rsidRPr="00D04DA2">
              <w:rPr>
                <w:rFonts w:cstheme="minorHAnsi"/>
                <w:color w:val="000000" w:themeColor="text1"/>
                <w:sz w:val="20"/>
                <w:szCs w:val="20"/>
              </w:rPr>
              <w:t>actbook</w:t>
            </w:r>
          </w:p>
          <w:p w14:paraId="121ABE0A" w14:textId="77777777" w:rsidR="00E5474F" w:rsidRPr="00D04DA2" w:rsidRDefault="00E5474F" w:rsidP="00D04DA2">
            <w:pPr>
              <w:spacing w:after="0" w:line="240" w:lineRule="auto"/>
              <w:contextualSpacing/>
              <w:rPr>
                <w:rFonts w:cstheme="minorHAnsi"/>
                <w:color w:val="000000" w:themeColor="text1"/>
                <w:sz w:val="20"/>
                <w:szCs w:val="20"/>
              </w:rPr>
            </w:pPr>
          </w:p>
          <w:p w14:paraId="26F93A29" w14:textId="77777777" w:rsidR="00E5474F" w:rsidRPr="00D04DA2" w:rsidRDefault="00E5474F" w:rsidP="00D04DA2">
            <w:pPr>
              <w:spacing w:after="0" w:line="240" w:lineRule="auto"/>
              <w:contextualSpacing/>
              <w:rPr>
                <w:rFonts w:cstheme="minorHAns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38F709" w14:textId="264FF31A" w:rsidR="00E5474F" w:rsidRPr="00D04DA2" w:rsidRDefault="00AA746C" w:rsidP="00D04DA2">
            <w:pPr>
              <w:spacing w:after="0" w:line="240" w:lineRule="auto"/>
              <w:contextualSpacing/>
              <w:rPr>
                <w:rFonts w:eastAsia="Calibri" w:cstheme="minorHAnsi"/>
                <w:color w:val="000000"/>
                <w:sz w:val="20"/>
                <w:szCs w:val="20"/>
              </w:rPr>
            </w:pPr>
            <w:r w:rsidRPr="00D04DA2">
              <w:rPr>
                <w:rFonts w:eastAsia="Calibri" w:cstheme="minorHAnsi"/>
                <w:color w:val="000000" w:themeColor="text1"/>
                <w:sz w:val="20"/>
                <w:szCs w:val="20"/>
              </w:rPr>
              <w:t>N/A</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E69DA54" w14:textId="77777777" w:rsidR="00E5474F"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OECD</w:t>
            </w:r>
          </w:p>
        </w:tc>
        <w:tc>
          <w:tcPr>
            <w:tcW w:w="1341" w:type="dxa"/>
            <w:tcBorders>
              <w:top w:val="single" w:sz="4" w:space="0" w:color="auto"/>
              <w:left w:val="nil"/>
              <w:bottom w:val="single" w:sz="4" w:space="0" w:color="auto"/>
              <w:right w:val="single" w:sz="4" w:space="0" w:color="auto"/>
            </w:tcBorders>
            <w:shd w:val="clear" w:color="auto" w:fill="auto"/>
          </w:tcPr>
          <w:p w14:paraId="5DE99BFC" w14:textId="322B0271" w:rsidR="00E5474F"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611F9B9" w14:textId="642E0216" w:rsidR="00E5474F" w:rsidRPr="00D04DA2" w:rsidRDefault="00E5474F" w:rsidP="00D04DA2">
            <w:pPr>
              <w:spacing w:after="0" w:line="240" w:lineRule="auto"/>
              <w:contextualSpacing/>
              <w:rPr>
                <w:rFonts w:eastAsia="Times New Roman" w:cstheme="minorHAnsi"/>
                <w:color w:val="000000"/>
                <w:sz w:val="20"/>
                <w:szCs w:val="20"/>
              </w:rPr>
            </w:pPr>
            <w:r w:rsidRPr="00D04DA2">
              <w:rPr>
                <w:rFonts w:cstheme="minorHAnsi"/>
                <w:color w:val="000000"/>
                <w:sz w:val="20"/>
                <w:szCs w:val="20"/>
              </w:rPr>
              <w:t>The OECD Corporate Governance Factbook accounts for how the G20/OECD principles of corporate governance are implemented around the world and offers comparative information across 50 jurisdictions. The Factbook supports informed policymaking by providing up-to-date information on the ways in which different countries translate the G20/OECD principles’ recommendations into their national legal and regulatory frameworks.</w:t>
            </w:r>
          </w:p>
          <w:p w14:paraId="1A5DDD87" w14:textId="77777777" w:rsidR="00AA746C" w:rsidRPr="00D04DA2" w:rsidRDefault="00AA746C" w:rsidP="00D04DA2">
            <w:pPr>
              <w:spacing w:after="0" w:line="240" w:lineRule="auto"/>
              <w:contextualSpacing/>
              <w:rPr>
                <w:rFonts w:eastAsia="Times New Roman" w:cstheme="minorHAnsi"/>
                <w:color w:val="000000"/>
                <w:sz w:val="20"/>
                <w:szCs w:val="20"/>
              </w:rPr>
            </w:pPr>
          </w:p>
          <w:p w14:paraId="3BC7B553" w14:textId="471F8FCB" w:rsidR="00E5474F"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 xml:space="preserve">The Factbook is divided into four main chapters: </w:t>
            </w:r>
            <w:r w:rsidR="00AA746C" w:rsidRPr="00D04DA2">
              <w:rPr>
                <w:rFonts w:eastAsia="Times New Roman" w:cstheme="minorHAnsi"/>
                <w:color w:val="000000"/>
                <w:sz w:val="20"/>
                <w:szCs w:val="20"/>
              </w:rPr>
              <w:t>(</w:t>
            </w:r>
            <w:r w:rsidRPr="00D04DA2">
              <w:rPr>
                <w:rFonts w:eastAsia="Times New Roman" w:cstheme="minorHAnsi"/>
                <w:color w:val="000000"/>
                <w:sz w:val="20"/>
                <w:szCs w:val="20"/>
              </w:rPr>
              <w:t xml:space="preserve">1) the global market and corporate ownership landscape; </w:t>
            </w:r>
            <w:r w:rsidR="00AA746C" w:rsidRPr="00D04DA2">
              <w:rPr>
                <w:rFonts w:eastAsia="Times New Roman" w:cstheme="minorHAnsi"/>
                <w:color w:val="000000"/>
                <w:sz w:val="20"/>
                <w:szCs w:val="20"/>
              </w:rPr>
              <w:t>(</w:t>
            </w:r>
            <w:r w:rsidRPr="00D04DA2">
              <w:rPr>
                <w:rFonts w:eastAsia="Times New Roman" w:cstheme="minorHAnsi"/>
                <w:color w:val="000000"/>
                <w:sz w:val="20"/>
                <w:szCs w:val="20"/>
              </w:rPr>
              <w:t xml:space="preserve">2) the corporate governance and institutional framework; </w:t>
            </w:r>
            <w:r w:rsidR="00AA746C" w:rsidRPr="00D04DA2">
              <w:rPr>
                <w:rFonts w:eastAsia="Times New Roman" w:cstheme="minorHAnsi"/>
                <w:color w:val="000000"/>
                <w:sz w:val="20"/>
                <w:szCs w:val="20"/>
              </w:rPr>
              <w:t>(</w:t>
            </w:r>
            <w:r w:rsidRPr="00D04DA2">
              <w:rPr>
                <w:rFonts w:eastAsia="Times New Roman" w:cstheme="minorHAnsi"/>
                <w:color w:val="000000"/>
                <w:sz w:val="20"/>
                <w:szCs w:val="20"/>
              </w:rPr>
              <w:t xml:space="preserve">3) the rights of shareholders and key ownership functions; and </w:t>
            </w:r>
            <w:r w:rsidR="00AA746C" w:rsidRPr="00D04DA2">
              <w:rPr>
                <w:rFonts w:eastAsia="Times New Roman" w:cstheme="minorHAnsi"/>
                <w:color w:val="000000"/>
                <w:sz w:val="20"/>
                <w:szCs w:val="20"/>
              </w:rPr>
              <w:t>(</w:t>
            </w:r>
            <w:r w:rsidRPr="00D04DA2">
              <w:rPr>
                <w:rFonts w:eastAsia="Times New Roman" w:cstheme="minorHAnsi"/>
                <w:color w:val="000000"/>
                <w:sz w:val="20"/>
                <w:szCs w:val="20"/>
              </w:rPr>
              <w:t xml:space="preserve">4) the corporate board of directors. Each chapter offers a narrative overview with figures, which helps to provide an overall picture of main tendencies and variations in approaches taken by different jurisdictions. </w:t>
            </w:r>
          </w:p>
          <w:p w14:paraId="1CB285F6" w14:textId="77777777" w:rsidR="00F27144" w:rsidRPr="00D04DA2" w:rsidRDefault="00F27144" w:rsidP="00D04DA2">
            <w:pPr>
              <w:spacing w:after="0" w:line="240" w:lineRule="auto"/>
              <w:contextualSpacing/>
              <w:rPr>
                <w:rFonts w:eastAsia="Times New Roman" w:cstheme="minorHAnsi"/>
                <w:color w:val="000000"/>
                <w:sz w:val="20"/>
                <w:szCs w:val="20"/>
              </w:rPr>
            </w:pPr>
          </w:p>
          <w:p w14:paraId="6B4D7C53" w14:textId="2FB964B4" w:rsidR="00AA746C" w:rsidRPr="00D04DA2" w:rsidRDefault="001D2889"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 xml:space="preserve">The </w:t>
            </w:r>
            <w:r w:rsidR="00AA746C" w:rsidRPr="00D04DA2">
              <w:rPr>
                <w:rFonts w:eastAsia="Times New Roman" w:cstheme="minorHAnsi"/>
                <w:color w:val="000000"/>
                <w:sz w:val="20"/>
                <w:szCs w:val="20"/>
              </w:rPr>
              <w:t>Factbook covers</w:t>
            </w:r>
            <w:r w:rsidR="002E1680" w:rsidRPr="00D04DA2">
              <w:rPr>
                <w:rFonts w:eastAsia="Times New Roman" w:cstheme="minorHAnsi"/>
                <w:color w:val="000000"/>
                <w:sz w:val="20"/>
                <w:szCs w:val="20"/>
              </w:rPr>
              <w:t xml:space="preserve"> </w:t>
            </w:r>
            <w:r w:rsidR="00E354E2" w:rsidRPr="00D04DA2">
              <w:rPr>
                <w:rFonts w:eastAsia="Times New Roman" w:cstheme="minorHAnsi"/>
                <w:color w:val="000000"/>
                <w:sz w:val="20"/>
                <w:szCs w:val="20"/>
              </w:rPr>
              <w:t>multiple corporate governance practices</w:t>
            </w:r>
            <w:r w:rsidR="00E05ADA" w:rsidRPr="00D04DA2">
              <w:rPr>
                <w:rFonts w:eastAsia="Times New Roman" w:cstheme="minorHAnsi"/>
                <w:color w:val="000000"/>
                <w:sz w:val="20"/>
                <w:szCs w:val="20"/>
              </w:rPr>
              <w:t>, including the following</w:t>
            </w:r>
            <w:r w:rsidR="00AA746C" w:rsidRPr="00D04DA2">
              <w:rPr>
                <w:rFonts w:eastAsia="Times New Roman" w:cstheme="minorHAnsi"/>
                <w:color w:val="000000"/>
                <w:sz w:val="20"/>
                <w:szCs w:val="20"/>
              </w:rPr>
              <w:t xml:space="preserve"> </w:t>
            </w:r>
            <w:r w:rsidRPr="00D04DA2">
              <w:rPr>
                <w:rFonts w:eastAsia="Times New Roman" w:cstheme="minorHAnsi"/>
                <w:color w:val="000000"/>
                <w:sz w:val="20"/>
                <w:szCs w:val="20"/>
              </w:rPr>
              <w:t>17 issues:</w:t>
            </w:r>
          </w:p>
          <w:p w14:paraId="618A8D17" w14:textId="4230BCD6" w:rsidR="00AA746C" w:rsidRPr="00D04DA2" w:rsidRDefault="00AA746C"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n</w:t>
            </w:r>
            <w:r w:rsidR="001D2889" w:rsidRPr="00D04DA2">
              <w:rPr>
                <w:rFonts w:eastAsia="Times New Roman" w:cstheme="minorHAnsi"/>
                <w:color w:val="000000"/>
                <w:sz w:val="20"/>
                <w:szCs w:val="20"/>
              </w:rPr>
              <w:t>umber of listed companies</w:t>
            </w:r>
          </w:p>
          <w:p w14:paraId="3EE8ACFD" w14:textId="161D1FA6"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largest stock exchanges</w:t>
            </w:r>
          </w:p>
          <w:p w14:paraId="05401A0A" w14:textId="27B743A5"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minimum public notice for shareholders meetings </w:t>
            </w:r>
            <w:r w:rsidR="00ED30BE" w:rsidRPr="00D04DA2">
              <w:rPr>
                <w:rFonts w:eastAsia="Times New Roman" w:cstheme="minorHAnsi"/>
                <w:color w:val="000000"/>
                <w:sz w:val="20"/>
                <w:szCs w:val="20"/>
              </w:rPr>
              <w:t>(</w:t>
            </w:r>
            <w:r w:rsidRPr="00D04DA2">
              <w:rPr>
                <w:rFonts w:eastAsia="Times New Roman" w:cstheme="minorHAnsi"/>
                <w:color w:val="000000"/>
                <w:sz w:val="20"/>
                <w:szCs w:val="20"/>
              </w:rPr>
              <w:t>days</w:t>
            </w:r>
            <w:r w:rsidR="00ED30BE" w:rsidRPr="00D04DA2">
              <w:rPr>
                <w:rFonts w:eastAsia="Times New Roman" w:cstheme="minorHAnsi"/>
                <w:color w:val="000000"/>
                <w:sz w:val="20"/>
                <w:szCs w:val="20"/>
              </w:rPr>
              <w:t>)</w:t>
            </w:r>
            <w:r w:rsidRPr="00D04DA2">
              <w:rPr>
                <w:rFonts w:eastAsia="Times New Roman" w:cstheme="minorHAnsi"/>
                <w:color w:val="000000"/>
                <w:sz w:val="20"/>
                <w:szCs w:val="20"/>
              </w:rPr>
              <w:t xml:space="preserve"> </w:t>
            </w:r>
          </w:p>
          <w:p w14:paraId="61694AD4" w14:textId="7A241B56"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means for sending shareholder meetings notice</w:t>
            </w:r>
          </w:p>
          <w:p w14:paraId="31C94DB9" w14:textId="3EE5B710"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minimum shareholding for placing items on a meeting</w:t>
            </w:r>
            <w:r w:rsidR="00AA746C" w:rsidRPr="00D04DA2">
              <w:rPr>
                <w:rFonts w:eastAsia="Times New Roman" w:cstheme="minorHAnsi"/>
                <w:color w:val="000000"/>
                <w:sz w:val="20"/>
                <w:szCs w:val="20"/>
              </w:rPr>
              <w:t>’</w:t>
            </w:r>
            <w:r w:rsidRPr="00D04DA2">
              <w:rPr>
                <w:rFonts w:eastAsia="Times New Roman" w:cstheme="minorHAnsi"/>
                <w:color w:val="000000"/>
                <w:sz w:val="20"/>
                <w:szCs w:val="20"/>
              </w:rPr>
              <w:t xml:space="preserve">s agenda </w:t>
            </w:r>
          </w:p>
          <w:p w14:paraId="359CCA87" w14:textId="207D45C5" w:rsidR="00AA746C" w:rsidRPr="00D04DA2" w:rsidRDefault="00AA746C"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i</w:t>
            </w:r>
            <w:r w:rsidR="001D2889" w:rsidRPr="00D04DA2">
              <w:rPr>
                <w:rFonts w:eastAsia="Times New Roman" w:cstheme="minorHAnsi"/>
                <w:color w:val="000000"/>
                <w:sz w:val="20"/>
                <w:szCs w:val="20"/>
              </w:rPr>
              <w:t>ssuance of shares with limited or no voting right</w:t>
            </w:r>
            <w:r w:rsidR="008D08B1" w:rsidRPr="00D04DA2">
              <w:rPr>
                <w:rFonts w:eastAsia="Times New Roman" w:cstheme="minorHAnsi"/>
                <w:color w:val="000000"/>
                <w:sz w:val="20"/>
                <w:szCs w:val="20"/>
              </w:rPr>
              <w:t>s</w:t>
            </w:r>
            <w:r w:rsidR="001D2889" w:rsidRPr="00D04DA2">
              <w:rPr>
                <w:rFonts w:eastAsia="Times New Roman" w:cstheme="minorHAnsi"/>
                <w:color w:val="000000"/>
                <w:sz w:val="20"/>
                <w:szCs w:val="20"/>
              </w:rPr>
              <w:t xml:space="preserve"> </w:t>
            </w:r>
          </w:p>
          <w:p w14:paraId="19848673" w14:textId="64C09BC2" w:rsidR="00AA746C" w:rsidRPr="00D04DA2" w:rsidRDefault="00AA746C"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r</w:t>
            </w:r>
            <w:r w:rsidR="001D2889" w:rsidRPr="00D04DA2">
              <w:rPr>
                <w:rFonts w:eastAsia="Times New Roman" w:cstheme="minorHAnsi"/>
                <w:color w:val="000000"/>
                <w:sz w:val="20"/>
                <w:szCs w:val="20"/>
              </w:rPr>
              <w:t xml:space="preserve">egulatory frameworks for periodic disclosure of related party transactions </w:t>
            </w:r>
          </w:p>
          <w:p w14:paraId="42BBBDA5" w14:textId="39C92596"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regulatory frameworks for immediate disclosure of related party transactions </w:t>
            </w:r>
          </w:p>
          <w:p w14:paraId="44D4D369" w14:textId="3D63A103"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board/shareholder approval for </w:t>
            </w:r>
            <w:r w:rsidR="00AA746C" w:rsidRPr="00D04DA2">
              <w:rPr>
                <w:rFonts w:eastAsia="Times New Roman" w:cstheme="minorHAnsi"/>
                <w:color w:val="000000"/>
                <w:sz w:val="20"/>
                <w:szCs w:val="20"/>
              </w:rPr>
              <w:t>r</w:t>
            </w:r>
            <w:r w:rsidRPr="00D04DA2">
              <w:rPr>
                <w:rFonts w:eastAsia="Times New Roman" w:cstheme="minorHAnsi"/>
                <w:color w:val="000000"/>
                <w:sz w:val="20"/>
                <w:szCs w:val="20"/>
              </w:rPr>
              <w:t xml:space="preserve">elated party transactions </w:t>
            </w:r>
          </w:p>
          <w:p w14:paraId="4C5C6CA8" w14:textId="702868B2"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opinion on approval of related-party transaction </w:t>
            </w:r>
          </w:p>
          <w:p w14:paraId="60A81CC3" w14:textId="473869FF"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voting majority for approval of related-party transaction </w:t>
            </w:r>
          </w:p>
          <w:p w14:paraId="1CFC086E" w14:textId="4A4A793A"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key threshold for mandatory takeover bids </w:t>
            </w:r>
          </w:p>
          <w:p w14:paraId="3C0CBB50" w14:textId="3554BCBE" w:rsidR="00AA746C" w:rsidRPr="00D04DA2" w:rsidRDefault="00AA746C"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d</w:t>
            </w:r>
            <w:r w:rsidR="001D2889" w:rsidRPr="00D04DA2">
              <w:rPr>
                <w:rFonts w:eastAsia="Times New Roman" w:cstheme="minorHAnsi"/>
                <w:color w:val="000000"/>
                <w:sz w:val="20"/>
                <w:szCs w:val="20"/>
              </w:rPr>
              <w:t>irectors’ independence (number</w:t>
            </w:r>
            <w:r w:rsidR="00ED30BE" w:rsidRPr="00D04DA2">
              <w:rPr>
                <w:rFonts w:eastAsia="Times New Roman" w:cstheme="minorHAnsi"/>
                <w:color w:val="000000"/>
                <w:sz w:val="20"/>
                <w:szCs w:val="20"/>
              </w:rPr>
              <w:t>)</w:t>
            </w:r>
          </w:p>
          <w:p w14:paraId="3B5FC552" w14:textId="78318A1F" w:rsidR="00AA746C" w:rsidRPr="00D04DA2" w:rsidRDefault="00AA746C"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directors’ independence (definition) </w:t>
            </w:r>
          </w:p>
          <w:p w14:paraId="5CAED5A9" w14:textId="6DBCB9ED" w:rsidR="00AA746C"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audit committees within the board </w:t>
            </w:r>
          </w:p>
          <w:p w14:paraId="4EC93249" w14:textId="473412AF" w:rsidR="00F372F6"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 xml:space="preserve">auditor independence </w:t>
            </w:r>
          </w:p>
          <w:p w14:paraId="5AA60C9E" w14:textId="24E7CA5C" w:rsidR="00E5474F" w:rsidRPr="00D04DA2" w:rsidRDefault="001D2889" w:rsidP="00D04DA2">
            <w:pPr>
              <w:pStyle w:val="ListParagraph"/>
              <w:numPr>
                <w:ilvl w:val="0"/>
                <w:numId w:val="3"/>
              </w:numPr>
              <w:spacing w:after="0" w:line="240" w:lineRule="auto"/>
              <w:rPr>
                <w:rFonts w:eastAsia="Times New Roman" w:cstheme="minorHAnsi"/>
                <w:color w:val="000000"/>
                <w:sz w:val="20"/>
                <w:szCs w:val="20"/>
              </w:rPr>
            </w:pPr>
            <w:r w:rsidRPr="00D04DA2">
              <w:rPr>
                <w:rFonts w:eastAsia="Times New Roman" w:cstheme="minorHAnsi"/>
                <w:color w:val="000000"/>
                <w:sz w:val="20"/>
                <w:szCs w:val="20"/>
              </w:rPr>
              <w:t>disclosure of remuneration</w:t>
            </w:r>
          </w:p>
        </w:tc>
        <w:tc>
          <w:tcPr>
            <w:tcW w:w="1485" w:type="dxa"/>
            <w:tcBorders>
              <w:top w:val="single" w:sz="4" w:space="0" w:color="auto"/>
              <w:left w:val="nil"/>
              <w:bottom w:val="single" w:sz="4" w:space="0" w:color="auto"/>
              <w:right w:val="single" w:sz="4" w:space="0" w:color="auto"/>
            </w:tcBorders>
          </w:tcPr>
          <w:p w14:paraId="04FC16B4" w14:textId="7E33DC84" w:rsidR="00E5474F" w:rsidRPr="00D04DA2" w:rsidRDefault="00D647D1"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Policy metrics</w:t>
            </w:r>
            <w:r w:rsidR="006F6487" w:rsidRPr="00D04DA2">
              <w:rPr>
                <w:rFonts w:eastAsia="Times New Roman"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F3EDE25" w14:textId="35F15AB1" w:rsidR="00E5474F" w:rsidRPr="00D04DA2" w:rsidRDefault="00E5474F"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Regional</w:t>
            </w:r>
            <w:r w:rsidR="001D2889" w:rsidRPr="00D04DA2">
              <w:rPr>
                <w:rFonts w:eastAsia="Times New Roman" w:cstheme="minorHAnsi"/>
                <w:color w:val="000000"/>
                <w:sz w:val="20"/>
                <w:szCs w:val="20"/>
              </w:rPr>
              <w:t xml:space="preserve"> </w:t>
            </w:r>
            <w:r w:rsidR="00AA746C" w:rsidRPr="00D04DA2">
              <w:rPr>
                <w:rFonts w:eastAsia="Times New Roman" w:cstheme="minorHAnsi"/>
                <w:color w:val="000000"/>
                <w:sz w:val="20"/>
                <w:szCs w:val="20"/>
              </w:rPr>
              <w:t>(</w:t>
            </w:r>
            <w:r w:rsidR="001D2889" w:rsidRPr="00D04DA2">
              <w:rPr>
                <w:rFonts w:eastAsia="Times New Roman" w:cstheme="minorHAnsi"/>
                <w:color w:val="000000"/>
                <w:sz w:val="20"/>
                <w:szCs w:val="20"/>
              </w:rPr>
              <w:t>OECD</w:t>
            </w:r>
            <w:r w:rsidR="00AA746C" w:rsidRPr="00D04DA2">
              <w:rPr>
                <w:rFonts w:eastAsia="Times New Roman" w:cstheme="minorHAnsi"/>
                <w:color w:val="000000"/>
                <w:sz w:val="20"/>
                <w:szCs w:val="20"/>
              </w:rPr>
              <w:t xml:space="preserve"> + comparators)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DCF5A1" w14:textId="77777777" w:rsidR="00E5474F" w:rsidRPr="00D04DA2" w:rsidRDefault="00E5474F" w:rsidP="00D04DA2">
            <w:pPr>
              <w:spacing w:after="0" w:line="240" w:lineRule="auto"/>
              <w:contextualSpacing/>
              <w:rPr>
                <w:rFonts w:eastAsia="Times New Roman" w:cstheme="minorHAnsi"/>
                <w:color w:val="000000"/>
                <w:sz w:val="20"/>
                <w:szCs w:val="20"/>
                <w:lang w:val="it-IT"/>
              </w:rPr>
            </w:pPr>
            <w:r w:rsidRPr="00D04DA2">
              <w:rPr>
                <w:rFonts w:eastAsia="Times New Roman" w:cstheme="minorHAnsi"/>
                <w:color w:val="000000"/>
                <w:sz w:val="20"/>
                <w:szCs w:val="20"/>
                <w:lang w:val="it-IT"/>
              </w:rPr>
              <w:t xml:space="preserve">50 economies </w:t>
            </w:r>
          </w:p>
          <w:p w14:paraId="4CC7E034" w14:textId="3C305115" w:rsidR="00E5474F" w:rsidRPr="00D04DA2" w:rsidRDefault="00F372F6" w:rsidP="00D04DA2">
            <w:pPr>
              <w:spacing w:after="0" w:line="240" w:lineRule="auto"/>
              <w:contextualSpacing/>
              <w:rPr>
                <w:rFonts w:cstheme="minorHAnsi"/>
                <w:color w:val="000000"/>
                <w:sz w:val="20"/>
                <w:szCs w:val="20"/>
                <w:lang w:val="it-IT"/>
              </w:rPr>
            </w:pPr>
            <w:r w:rsidRPr="00D04DA2">
              <w:rPr>
                <w:rFonts w:eastAsia="Times New Roman" w:cstheme="minorHAnsi"/>
                <w:color w:val="000000"/>
                <w:sz w:val="20"/>
                <w:szCs w:val="20"/>
                <w:lang w:val="it-IT"/>
              </w:rPr>
              <w:t>(</w:t>
            </w:r>
            <w:r w:rsidR="00E5474F" w:rsidRPr="00D04DA2">
              <w:rPr>
                <w:rFonts w:eastAsia="Times New Roman" w:cstheme="minorHAnsi"/>
                <w:color w:val="000000"/>
                <w:sz w:val="20"/>
                <w:szCs w:val="20"/>
                <w:lang w:val="it-IT"/>
              </w:rPr>
              <w:t>38 OECD economies</w:t>
            </w:r>
            <w:r w:rsidR="005C7D3B" w:rsidRPr="00D04DA2">
              <w:rPr>
                <w:rFonts w:eastAsia="Times New Roman" w:cstheme="minorHAnsi"/>
                <w:color w:val="000000"/>
                <w:sz w:val="20"/>
                <w:szCs w:val="20"/>
                <w:lang w:val="it-IT"/>
              </w:rPr>
              <w:t>,</w:t>
            </w:r>
            <w:r w:rsidR="00E5474F" w:rsidRPr="00D04DA2">
              <w:rPr>
                <w:rFonts w:eastAsia="Times New Roman" w:cstheme="minorHAnsi"/>
                <w:color w:val="000000"/>
                <w:sz w:val="20"/>
                <w:szCs w:val="20"/>
                <w:lang w:val="it-IT"/>
              </w:rPr>
              <w:t xml:space="preserve"> Argentina, Brazil, China, Hong Kong (China), India, Indonesia, Malaysia, Peru, Russian Federation, Saudi Arabia, Singapore and South Africa</w:t>
            </w:r>
            <w:r w:rsidRPr="00D04DA2">
              <w:rPr>
                <w:rFonts w:eastAsia="Times New Roman" w:cstheme="minorHAnsi"/>
                <w:color w:val="000000"/>
                <w:sz w:val="20"/>
                <w:szCs w:val="20"/>
                <w:lang w:val="it-IT"/>
              </w:rPr>
              <w:t>)</w:t>
            </w:r>
          </w:p>
        </w:tc>
        <w:tc>
          <w:tcPr>
            <w:tcW w:w="1418" w:type="dxa"/>
            <w:tcBorders>
              <w:top w:val="single" w:sz="4" w:space="0" w:color="auto"/>
              <w:left w:val="single" w:sz="4" w:space="0" w:color="auto"/>
              <w:bottom w:val="single" w:sz="4" w:space="0" w:color="auto"/>
              <w:right w:val="single" w:sz="4" w:space="0" w:color="auto"/>
            </w:tcBorders>
          </w:tcPr>
          <w:p w14:paraId="11652B12" w14:textId="069854FC" w:rsidR="00E5474F" w:rsidRPr="00D04DA2" w:rsidRDefault="00283799" w:rsidP="00D04DA2">
            <w:pPr>
              <w:spacing w:after="0" w:line="240" w:lineRule="auto"/>
              <w:contextualSpacing/>
              <w:rPr>
                <w:rFonts w:eastAsia="Times New Roman" w:cstheme="minorHAnsi"/>
                <w:color w:val="000000"/>
                <w:sz w:val="20"/>
                <w:szCs w:val="20"/>
                <w:lang w:val="it-IT"/>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61150F" w14:textId="10CB3D59" w:rsidR="00E5474F" w:rsidRPr="00D04DA2" w:rsidRDefault="005F39E0" w:rsidP="00D04DA2">
            <w:pPr>
              <w:spacing w:after="0" w:line="240" w:lineRule="auto"/>
              <w:contextualSpacing/>
              <w:rPr>
                <w:rFonts w:eastAsia="Times New Roman" w:cstheme="minorHAnsi"/>
                <w:color w:val="000000"/>
                <w:sz w:val="20"/>
                <w:szCs w:val="20"/>
              </w:rPr>
            </w:pPr>
            <w:r w:rsidRPr="00D04DA2">
              <w:rPr>
                <w:rFonts w:eastAsia="Times New Roman" w:cstheme="minorHAnsi"/>
                <w:color w:val="000000"/>
                <w:sz w:val="20"/>
                <w:szCs w:val="20"/>
              </w:rPr>
              <w:t xml:space="preserve">Every </w:t>
            </w:r>
            <w:r w:rsidR="00F372F6" w:rsidRPr="00D04DA2">
              <w:rPr>
                <w:rFonts w:eastAsia="Times New Roman" w:cstheme="minorHAnsi"/>
                <w:color w:val="000000"/>
                <w:sz w:val="20"/>
                <w:szCs w:val="20"/>
              </w:rPr>
              <w:t>2</w:t>
            </w:r>
            <w:r w:rsidRPr="00D04DA2">
              <w:rPr>
                <w:rFonts w:eastAsia="Times New Roman" w:cstheme="minorHAnsi"/>
                <w:color w:val="000000"/>
                <w:sz w:val="20"/>
                <w:szCs w:val="20"/>
              </w:rPr>
              <w:t xml:space="preserve"> years</w:t>
            </w:r>
            <w:r w:rsidR="00E5474F" w:rsidRPr="00D04DA2">
              <w:rPr>
                <w:rFonts w:eastAsia="Times New Roman" w:cstheme="minorHAnsi"/>
                <w:color w:val="000000"/>
                <w:sz w:val="20"/>
                <w:szCs w:val="20"/>
              </w:rPr>
              <w:t>.</w:t>
            </w:r>
          </w:p>
          <w:p w14:paraId="4971B5A4" w14:textId="77777777" w:rsidR="00AA746C" w:rsidRPr="00D04DA2" w:rsidRDefault="00AA746C" w:rsidP="00D04DA2">
            <w:pPr>
              <w:spacing w:after="0" w:line="240" w:lineRule="auto"/>
              <w:contextualSpacing/>
              <w:rPr>
                <w:rFonts w:eastAsia="Times New Roman" w:cstheme="minorHAnsi"/>
                <w:color w:val="000000"/>
                <w:sz w:val="20"/>
                <w:szCs w:val="20"/>
              </w:rPr>
            </w:pPr>
          </w:p>
          <w:p w14:paraId="2AF10601" w14:textId="31F469FF" w:rsidR="00AA746C" w:rsidRPr="00D04DA2" w:rsidRDefault="00AA746C" w:rsidP="00D04DA2">
            <w:pPr>
              <w:spacing w:after="0" w:line="240" w:lineRule="auto"/>
              <w:contextualSpacing/>
              <w:rPr>
                <w:rFonts w:cstheme="minorHAnsi"/>
                <w:color w:val="000000"/>
                <w:sz w:val="20"/>
                <w:szCs w:val="20"/>
              </w:rPr>
            </w:pPr>
            <w:r w:rsidRPr="00D04DA2">
              <w:rPr>
                <w:rFonts w:eastAsia="Times New Roman" w:cstheme="minorHAnsi"/>
                <w:color w:val="000000"/>
                <w:sz w:val="20"/>
                <w:szCs w:val="20"/>
              </w:rPr>
              <w:t xml:space="preserve">The indicator is published for </w:t>
            </w:r>
            <w:r w:rsidR="00AC37E8" w:rsidRPr="00D04DA2">
              <w:rPr>
                <w:rFonts w:eastAsia="Times New Roman" w:cstheme="minorHAnsi"/>
                <w:color w:val="000000"/>
                <w:sz w:val="20"/>
                <w:szCs w:val="20"/>
              </w:rPr>
              <w:t>2014-2021</w:t>
            </w:r>
            <w:r w:rsidRPr="00D04DA2">
              <w:rPr>
                <w:rFonts w:eastAsia="Times New Roman" w:cstheme="minorHAnsi"/>
                <w:color w:val="000000"/>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55FED61B" w14:textId="77777777" w:rsidR="00E5474F" w:rsidRPr="00D04DA2" w:rsidRDefault="00FA1285" w:rsidP="00D04DA2">
            <w:pPr>
              <w:spacing w:after="0" w:line="240" w:lineRule="auto"/>
              <w:contextualSpacing/>
              <w:rPr>
                <w:rFonts w:eastAsia="Calibri" w:cstheme="minorHAnsi"/>
                <w:color w:val="000000" w:themeColor="text1"/>
                <w:sz w:val="20"/>
                <w:szCs w:val="20"/>
              </w:rPr>
            </w:pPr>
            <w:hyperlink r:id="rId37">
              <w:r w:rsidR="00E5474F" w:rsidRPr="00D04DA2">
                <w:rPr>
                  <w:rStyle w:val="Hyperlink"/>
                  <w:rFonts w:eastAsia="Calibri" w:cstheme="minorHAnsi"/>
                  <w:sz w:val="20"/>
                  <w:szCs w:val="20"/>
                </w:rPr>
                <w:t>https://www.oecd.org/corporate/Corporate-Governance-Factbook.pdf</w:t>
              </w:r>
            </w:hyperlink>
            <w:r w:rsidR="00E5474F" w:rsidRPr="00D04DA2">
              <w:rPr>
                <w:rFonts w:eastAsia="Calibri" w:cstheme="minorHAnsi"/>
                <w:color w:val="000000" w:themeColor="text1"/>
                <w:sz w:val="20"/>
                <w:szCs w:val="20"/>
              </w:rPr>
              <w:t xml:space="preserve"> </w:t>
            </w:r>
          </w:p>
          <w:p w14:paraId="48E1805E" w14:textId="77777777" w:rsidR="002E57D4" w:rsidRPr="00D04DA2" w:rsidRDefault="002E57D4" w:rsidP="00D04DA2">
            <w:pPr>
              <w:spacing w:after="0" w:line="240" w:lineRule="auto"/>
              <w:contextualSpacing/>
              <w:rPr>
                <w:rFonts w:eastAsia="Calibri" w:cstheme="minorHAnsi"/>
                <w:color w:val="000000" w:themeColor="text1"/>
                <w:sz w:val="20"/>
                <w:szCs w:val="20"/>
              </w:rPr>
            </w:pPr>
          </w:p>
          <w:p w14:paraId="7B802967" w14:textId="0F77D654" w:rsidR="00E5474F" w:rsidRPr="00D04DA2" w:rsidRDefault="002E57D4" w:rsidP="00D04DA2">
            <w:pPr>
              <w:spacing w:after="0" w:line="240" w:lineRule="auto"/>
              <w:contextualSpacing/>
              <w:rPr>
                <w:rFonts w:eastAsia="Calibri" w:cstheme="minorHAnsi"/>
                <w:b/>
                <w:bCs/>
                <w:color w:val="000000" w:themeColor="text1"/>
                <w:sz w:val="20"/>
                <w:szCs w:val="20"/>
              </w:rPr>
            </w:pPr>
            <w:r w:rsidRPr="00D04DA2">
              <w:rPr>
                <w:rFonts w:cstheme="minorHAnsi"/>
                <w:b/>
                <w:bCs/>
                <w:color w:val="FF0000"/>
                <w:sz w:val="20"/>
                <w:szCs w:val="20"/>
              </w:rPr>
              <w:t xml:space="preserve">The data </w:t>
            </w:r>
            <w:r w:rsidR="00A33202" w:rsidRPr="00D04DA2">
              <w:rPr>
                <w:rFonts w:cstheme="minorHAnsi"/>
                <w:b/>
                <w:bCs/>
                <w:color w:val="FF0000"/>
                <w:sz w:val="20"/>
                <w:szCs w:val="20"/>
              </w:rPr>
              <w:t>is</w:t>
            </w:r>
            <w:r w:rsidRPr="00D04DA2">
              <w:rPr>
                <w:rFonts w:cstheme="minorHAnsi"/>
                <w:b/>
                <w:bCs/>
                <w:color w:val="FF0000"/>
                <w:sz w:val="20"/>
                <w:szCs w:val="20"/>
              </w:rPr>
              <w:t xml:space="preserve"> available in PDF only. It is not currently available in an editable format.</w:t>
            </w:r>
          </w:p>
        </w:tc>
      </w:tr>
      <w:tr w:rsidR="00500C09" w:rsidRPr="00D04DA2" w14:paraId="5823AB3E"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5AC6BED9" w14:textId="47322FAE"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w:t>
            </w:r>
            <w:r w:rsidR="2FBC37AC" w:rsidRPr="00D04DA2">
              <w:rPr>
                <w:rFonts w:cstheme="minorHAnsi"/>
                <w:color w:val="000000" w:themeColor="text1"/>
                <w:sz w:val="20"/>
                <w:szCs w:val="20"/>
              </w:rPr>
              <w:t>3</w:t>
            </w:r>
          </w:p>
        </w:tc>
        <w:tc>
          <w:tcPr>
            <w:tcW w:w="1341" w:type="dxa"/>
            <w:tcBorders>
              <w:top w:val="single" w:sz="4" w:space="0" w:color="auto"/>
              <w:left w:val="single" w:sz="4" w:space="0" w:color="auto"/>
              <w:bottom w:val="single" w:sz="4" w:space="0" w:color="auto"/>
              <w:right w:val="nil"/>
            </w:tcBorders>
            <w:shd w:val="clear" w:color="auto" w:fill="auto"/>
          </w:tcPr>
          <w:p w14:paraId="15947575"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B6ACF2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4B9B3B6E" w14:textId="09D00CE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Corporate governance </w:t>
            </w:r>
            <w:r w:rsidR="00A72C99" w:rsidRPr="00D04DA2">
              <w:rPr>
                <w:rFonts w:cstheme="minorHAnsi"/>
                <w:color w:val="000000" w:themeColor="text1"/>
                <w:sz w:val="20"/>
                <w:szCs w:val="20"/>
              </w:rPr>
              <w:t xml:space="preserve">sector </w:t>
            </w:r>
            <w:r w:rsidR="4C54EEED" w:rsidRPr="00D04DA2">
              <w:rPr>
                <w:rFonts w:cstheme="minorHAnsi"/>
                <w:color w:val="000000" w:themeColor="text1"/>
                <w:sz w:val="20"/>
                <w:szCs w:val="20"/>
              </w:rPr>
              <w:t xml:space="preserve">framework ratings </w:t>
            </w:r>
            <w:r w:rsidR="00A72C99" w:rsidRPr="00D04DA2">
              <w:rPr>
                <w:rFonts w:cstheme="minorHAnsi"/>
                <w:color w:val="000000" w:themeColor="text1"/>
                <w:sz w:val="20"/>
                <w:szCs w:val="20"/>
              </w:rPr>
              <w:t>assessment</w:t>
            </w:r>
          </w:p>
          <w:p w14:paraId="1D43C075" w14:textId="77777777" w:rsidR="00E5474F" w:rsidRPr="00D04DA2" w:rsidRDefault="00E5474F" w:rsidP="00D04DA2">
            <w:pPr>
              <w:spacing w:after="0" w:line="240" w:lineRule="auto"/>
              <w:contextualSpacing/>
              <w:rPr>
                <w:rFonts w:cstheme="minorHAns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546D2C" w14:textId="231925E9" w:rsidR="00E5474F" w:rsidRPr="00D04DA2" w:rsidRDefault="28BC9930"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Rating </w:t>
            </w:r>
            <w:r w:rsidR="00A72C99" w:rsidRPr="00D04DA2">
              <w:rPr>
                <w:rFonts w:cstheme="minorHAnsi"/>
                <w:color w:val="000000" w:themeColor="text1"/>
                <w:sz w:val="20"/>
                <w:szCs w:val="20"/>
              </w:rPr>
              <w:t xml:space="preserve">of </w:t>
            </w:r>
            <w:r w:rsidRPr="00D04DA2">
              <w:rPr>
                <w:rFonts w:cstheme="minorHAnsi"/>
                <w:color w:val="000000" w:themeColor="text1"/>
                <w:sz w:val="20"/>
                <w:szCs w:val="20"/>
              </w:rPr>
              <w:t xml:space="preserve">5 color codes </w:t>
            </w:r>
            <w:r w:rsidR="001C38C4" w:rsidRPr="00D04DA2">
              <w:rPr>
                <w:rFonts w:cstheme="minorHAnsi"/>
                <w:color w:val="000000" w:themeColor="text1"/>
                <w:sz w:val="20"/>
                <w:szCs w:val="20"/>
              </w:rPr>
              <w:t>(</w:t>
            </w:r>
            <w:r w:rsidR="00CC4BDC" w:rsidRPr="00D04DA2">
              <w:rPr>
                <w:rFonts w:cstheme="minorHAnsi"/>
                <w:color w:val="000000" w:themeColor="text1"/>
                <w:sz w:val="20"/>
                <w:szCs w:val="20"/>
              </w:rPr>
              <w:t xml:space="preserve">For more information, read the </w:t>
            </w:r>
            <w:r w:rsidR="00CC4BDC" w:rsidRPr="00D04DA2">
              <w:rPr>
                <w:rFonts w:cstheme="minorHAnsi"/>
                <w:color w:val="000000" w:themeColor="text1"/>
                <w:sz w:val="20"/>
                <w:szCs w:val="20"/>
              </w:rPr>
              <w:lastRenderedPageBreak/>
              <w:t>description.</w:t>
            </w:r>
            <w:r w:rsidR="6CD31CD6" w:rsidRPr="00D04DA2">
              <w:rPr>
                <w:rFonts w:cstheme="minorHAnsi"/>
                <w:color w:val="000000" w:themeColor="text1"/>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085A9AA" w14:textId="714D29E6" w:rsidR="00E5474F" w:rsidRPr="00D04DA2" w:rsidRDefault="00971954" w:rsidP="00D04DA2">
            <w:pPr>
              <w:spacing w:after="0" w:line="240" w:lineRule="auto"/>
              <w:contextualSpacing/>
              <w:rPr>
                <w:rFonts w:cstheme="minorHAnsi"/>
                <w:color w:val="000000"/>
                <w:sz w:val="20"/>
                <w:szCs w:val="20"/>
              </w:rPr>
            </w:pPr>
            <w:r w:rsidRPr="00D04DA2">
              <w:rPr>
                <w:rFonts w:cstheme="minorHAnsi"/>
                <w:color w:val="000000"/>
                <w:sz w:val="20"/>
                <w:szCs w:val="20"/>
              </w:rPr>
              <w:lastRenderedPageBreak/>
              <w:t>European Bank for Reconstruction and Development (EBRD)</w:t>
            </w:r>
          </w:p>
        </w:tc>
        <w:tc>
          <w:tcPr>
            <w:tcW w:w="1341" w:type="dxa"/>
            <w:tcBorders>
              <w:top w:val="single" w:sz="4" w:space="0" w:color="auto"/>
              <w:left w:val="nil"/>
              <w:bottom w:val="single" w:sz="4" w:space="0" w:color="auto"/>
              <w:right w:val="single" w:sz="4" w:space="0" w:color="auto"/>
            </w:tcBorders>
            <w:shd w:val="clear" w:color="auto" w:fill="auto"/>
          </w:tcPr>
          <w:p w14:paraId="22CA8A4B" w14:textId="370972B5"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F28272E" w14:textId="6572D8D1"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The</w:t>
            </w:r>
            <w:r w:rsidR="00407B09" w:rsidRPr="00D04DA2">
              <w:rPr>
                <w:rFonts w:cstheme="minorHAnsi"/>
                <w:color w:val="000000"/>
                <w:sz w:val="20"/>
                <w:szCs w:val="20"/>
              </w:rPr>
              <w:t xml:space="preserve"> </w:t>
            </w:r>
            <w:r w:rsidR="00A72C99" w:rsidRPr="00D04DA2">
              <w:rPr>
                <w:rFonts w:cstheme="minorHAnsi"/>
                <w:color w:val="000000"/>
                <w:sz w:val="20"/>
                <w:szCs w:val="20"/>
              </w:rPr>
              <w:t>a</w:t>
            </w:r>
            <w:r w:rsidRPr="00D04DA2">
              <w:rPr>
                <w:rFonts w:cstheme="minorHAnsi"/>
                <w:color w:val="000000"/>
                <w:sz w:val="20"/>
                <w:szCs w:val="20"/>
              </w:rPr>
              <w:t xml:space="preserve">ssessment aims at measuring the state of play (status, gaps between local laws/regulations and international standards, effectiveness of implementation) in corporate governance. The </w:t>
            </w:r>
            <w:r w:rsidR="00A72C99" w:rsidRPr="00D04DA2">
              <w:rPr>
                <w:rFonts w:cstheme="minorHAnsi"/>
                <w:color w:val="000000"/>
                <w:sz w:val="20"/>
                <w:szCs w:val="20"/>
              </w:rPr>
              <w:t>a</w:t>
            </w:r>
            <w:r w:rsidRPr="00D04DA2">
              <w:rPr>
                <w:rFonts w:cstheme="minorHAnsi"/>
                <w:color w:val="000000"/>
                <w:sz w:val="20"/>
                <w:szCs w:val="20"/>
              </w:rPr>
              <w:t xml:space="preserve">ssessment is meant to provide for (i) a comparative analysis of both the quality and effectiveness of national corporate governance legislation (including voluntary codes); (ii) a basis to assess key corporate governance practices of companies against the national legislation; (iii) an understanding whether the legal </w:t>
            </w:r>
            <w:r w:rsidRPr="00D04DA2">
              <w:rPr>
                <w:rFonts w:cstheme="minorHAnsi"/>
                <w:color w:val="000000"/>
                <w:sz w:val="20"/>
                <w:szCs w:val="20"/>
              </w:rPr>
              <w:lastRenderedPageBreak/>
              <w:t>framework is coupled with proper enforcement mechanisms (e.g., sanctions) and/or with authorities able to ensure proper implementation; (iv) a support to highlight which are the major weaknesses that should be tackled by companies and legislators for improving the national corporate governance framework; and (v) a tool which will enable the EBRD to establish “reference points” enabling comparison across countries.</w:t>
            </w:r>
          </w:p>
          <w:p w14:paraId="5273DD13" w14:textId="495DE7DD" w:rsidR="00E5474F" w:rsidRPr="00D04DA2" w:rsidRDefault="00E5474F" w:rsidP="00D04DA2">
            <w:pPr>
              <w:spacing w:after="0" w:line="240" w:lineRule="auto"/>
              <w:contextualSpacing/>
              <w:rPr>
                <w:rFonts w:cstheme="minorHAnsi"/>
                <w:color w:val="000000"/>
                <w:sz w:val="20"/>
                <w:szCs w:val="20"/>
              </w:rPr>
            </w:pPr>
          </w:p>
          <w:p w14:paraId="22C99A85"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This </w:t>
            </w:r>
            <w:r w:rsidR="00A72C99" w:rsidRPr="00D04DA2">
              <w:rPr>
                <w:rFonts w:cstheme="minorHAnsi"/>
                <w:color w:val="000000"/>
                <w:sz w:val="20"/>
                <w:szCs w:val="20"/>
              </w:rPr>
              <w:t>a</w:t>
            </w:r>
            <w:r w:rsidRPr="00D04DA2">
              <w:rPr>
                <w:rFonts w:cstheme="minorHAnsi"/>
                <w:color w:val="000000"/>
                <w:sz w:val="20"/>
                <w:szCs w:val="20"/>
              </w:rPr>
              <w:t xml:space="preserve">ssessment is based on a methodology designed to measure the quality of legislation in relation to best practice requirements and the effectiveness of its implementation through judicial and company practice as well as the capacity of the broader institutional framework to sustain quality governance. </w:t>
            </w:r>
          </w:p>
          <w:p w14:paraId="5AE4C48C" w14:textId="77777777" w:rsidR="003E52F1" w:rsidRPr="00D04DA2" w:rsidRDefault="003E52F1" w:rsidP="00D04DA2">
            <w:pPr>
              <w:spacing w:after="0" w:line="240" w:lineRule="auto"/>
              <w:contextualSpacing/>
              <w:rPr>
                <w:rFonts w:cstheme="minorHAnsi"/>
                <w:color w:val="000000"/>
                <w:sz w:val="20"/>
                <w:szCs w:val="20"/>
              </w:rPr>
            </w:pPr>
          </w:p>
          <w:p w14:paraId="56189CA0" w14:textId="77777777" w:rsidR="00B821A7" w:rsidRPr="00D04DA2" w:rsidRDefault="003E52F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assessment uses 5 </w:t>
            </w:r>
            <w:r w:rsidR="00B821A7" w:rsidRPr="00D04DA2">
              <w:rPr>
                <w:rFonts w:cstheme="minorHAnsi"/>
                <w:color w:val="000000" w:themeColor="text1"/>
                <w:sz w:val="20"/>
                <w:szCs w:val="20"/>
              </w:rPr>
              <w:t>color codes:</w:t>
            </w:r>
          </w:p>
          <w:p w14:paraId="5AAAD653" w14:textId="77777777" w:rsidR="00B821A7" w:rsidRPr="00D04DA2" w:rsidRDefault="003E52F1" w:rsidP="00D04DA2">
            <w:pPr>
              <w:pStyle w:val="ListParagraph"/>
              <w:numPr>
                <w:ilvl w:val="0"/>
                <w:numId w:val="15"/>
              </w:numPr>
              <w:spacing w:after="0" w:line="240" w:lineRule="auto"/>
              <w:rPr>
                <w:rFonts w:cstheme="minorHAnsi"/>
                <w:color w:val="000000" w:themeColor="text1"/>
                <w:sz w:val="20"/>
                <w:szCs w:val="20"/>
              </w:rPr>
            </w:pPr>
            <w:r w:rsidRPr="00D04DA2">
              <w:rPr>
                <w:rFonts w:cstheme="minorHAnsi"/>
                <w:color w:val="000000" w:themeColor="text1"/>
                <w:sz w:val="20"/>
                <w:szCs w:val="20"/>
              </w:rPr>
              <w:t>dark green = strong to very strong</w:t>
            </w:r>
          </w:p>
          <w:p w14:paraId="3118691B" w14:textId="77777777" w:rsidR="00B821A7" w:rsidRPr="00D04DA2" w:rsidRDefault="003E52F1" w:rsidP="00D04DA2">
            <w:pPr>
              <w:pStyle w:val="ListParagraph"/>
              <w:numPr>
                <w:ilvl w:val="0"/>
                <w:numId w:val="15"/>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light green </w:t>
            </w:r>
            <w:r w:rsidR="00B821A7" w:rsidRPr="00D04DA2">
              <w:rPr>
                <w:rFonts w:cstheme="minorHAnsi"/>
                <w:color w:val="000000" w:themeColor="text1"/>
                <w:sz w:val="20"/>
                <w:szCs w:val="20"/>
              </w:rPr>
              <w:t>=</w:t>
            </w:r>
            <w:r w:rsidRPr="00D04DA2">
              <w:rPr>
                <w:rFonts w:cstheme="minorHAnsi"/>
                <w:color w:val="000000" w:themeColor="text1"/>
                <w:sz w:val="20"/>
                <w:szCs w:val="20"/>
              </w:rPr>
              <w:t xml:space="preserve"> moderately strong</w:t>
            </w:r>
          </w:p>
          <w:p w14:paraId="05A271FB" w14:textId="77777777" w:rsidR="00B821A7" w:rsidRPr="00D04DA2" w:rsidRDefault="003E52F1" w:rsidP="00D04DA2">
            <w:pPr>
              <w:pStyle w:val="ListParagraph"/>
              <w:numPr>
                <w:ilvl w:val="0"/>
                <w:numId w:val="15"/>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yellow </w:t>
            </w:r>
            <w:r w:rsidR="00B821A7" w:rsidRPr="00D04DA2">
              <w:rPr>
                <w:rFonts w:cstheme="minorHAnsi"/>
                <w:color w:val="000000" w:themeColor="text1"/>
                <w:sz w:val="20"/>
                <w:szCs w:val="20"/>
              </w:rPr>
              <w:t xml:space="preserve">= </w:t>
            </w:r>
            <w:r w:rsidRPr="00D04DA2">
              <w:rPr>
                <w:rFonts w:cstheme="minorHAnsi"/>
                <w:color w:val="000000" w:themeColor="text1"/>
                <w:sz w:val="20"/>
                <w:szCs w:val="20"/>
              </w:rPr>
              <w:t>fair</w:t>
            </w:r>
          </w:p>
          <w:p w14:paraId="1EA7C2BA" w14:textId="77777777" w:rsidR="00B821A7" w:rsidRPr="00D04DA2" w:rsidRDefault="003E52F1" w:rsidP="00D04DA2">
            <w:pPr>
              <w:pStyle w:val="ListParagraph"/>
              <w:numPr>
                <w:ilvl w:val="0"/>
                <w:numId w:val="15"/>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orange </w:t>
            </w:r>
            <w:r w:rsidR="00B821A7" w:rsidRPr="00D04DA2">
              <w:rPr>
                <w:rFonts w:cstheme="minorHAnsi"/>
                <w:color w:val="000000" w:themeColor="text1"/>
                <w:sz w:val="20"/>
                <w:szCs w:val="20"/>
              </w:rPr>
              <w:t>=</w:t>
            </w:r>
            <w:r w:rsidRPr="00D04DA2">
              <w:rPr>
                <w:rFonts w:cstheme="minorHAnsi"/>
                <w:color w:val="000000" w:themeColor="text1"/>
                <w:sz w:val="20"/>
                <w:szCs w:val="20"/>
              </w:rPr>
              <w:t xml:space="preserve"> weak</w:t>
            </w:r>
          </w:p>
          <w:p w14:paraId="6EAC96B8" w14:textId="46E38AC6" w:rsidR="003E52F1" w:rsidRPr="00D04DA2" w:rsidRDefault="003E52F1" w:rsidP="00D04DA2">
            <w:pPr>
              <w:pStyle w:val="ListParagraph"/>
              <w:numPr>
                <w:ilvl w:val="0"/>
                <w:numId w:val="15"/>
              </w:numPr>
              <w:spacing w:after="0" w:line="240" w:lineRule="auto"/>
              <w:rPr>
                <w:rFonts w:cstheme="minorHAnsi"/>
                <w:color w:val="000000"/>
                <w:sz w:val="20"/>
                <w:szCs w:val="20"/>
              </w:rPr>
            </w:pPr>
            <w:r w:rsidRPr="00D04DA2">
              <w:rPr>
                <w:rFonts w:cstheme="minorHAnsi"/>
                <w:color w:val="000000" w:themeColor="text1"/>
                <w:sz w:val="20"/>
                <w:szCs w:val="20"/>
              </w:rPr>
              <w:t xml:space="preserve">red </w:t>
            </w:r>
            <w:r w:rsidR="00B821A7" w:rsidRPr="00D04DA2">
              <w:rPr>
                <w:rFonts w:cstheme="minorHAnsi"/>
                <w:color w:val="000000" w:themeColor="text1"/>
                <w:sz w:val="20"/>
                <w:szCs w:val="20"/>
              </w:rPr>
              <w:t>=</w:t>
            </w:r>
            <w:r w:rsidRPr="00D04DA2">
              <w:rPr>
                <w:rFonts w:cstheme="minorHAnsi"/>
                <w:color w:val="000000" w:themeColor="text1"/>
                <w:sz w:val="20"/>
                <w:szCs w:val="20"/>
              </w:rPr>
              <w:t xml:space="preserve"> very weak</w:t>
            </w:r>
          </w:p>
        </w:tc>
        <w:tc>
          <w:tcPr>
            <w:tcW w:w="1485" w:type="dxa"/>
            <w:tcBorders>
              <w:top w:val="single" w:sz="4" w:space="0" w:color="auto"/>
              <w:left w:val="nil"/>
              <w:bottom w:val="single" w:sz="4" w:space="0" w:color="auto"/>
              <w:right w:val="single" w:sz="4" w:space="0" w:color="auto"/>
            </w:tcBorders>
          </w:tcPr>
          <w:p w14:paraId="7AFA192E" w14:textId="056DFC2F" w:rsidR="00E5474F" w:rsidRPr="00D04DA2" w:rsidRDefault="00D647D1" w:rsidP="00D04DA2">
            <w:pPr>
              <w:spacing w:after="0" w:line="240" w:lineRule="auto"/>
              <w:contextualSpacing/>
              <w:rPr>
                <w:rFonts w:cstheme="minorHAnsi"/>
                <w:color w:val="000000"/>
                <w:sz w:val="20"/>
                <w:szCs w:val="20"/>
              </w:rPr>
            </w:pPr>
            <w:r w:rsidRPr="00D04DA2">
              <w:rPr>
                <w:rFonts w:cstheme="minorHAnsi"/>
                <w:color w:val="000000"/>
                <w:sz w:val="20"/>
                <w:szCs w:val="20"/>
              </w:rPr>
              <w:lastRenderedPageBreak/>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E1EFE89" w14:textId="385A3A48" w:rsidR="00E5474F" w:rsidRPr="00D04DA2" w:rsidRDefault="00A72C99" w:rsidP="00D04DA2">
            <w:pPr>
              <w:spacing w:after="0" w:line="240" w:lineRule="auto"/>
              <w:contextualSpacing/>
              <w:rPr>
                <w:rFonts w:cstheme="minorHAnsi"/>
                <w:color w:val="000000"/>
                <w:sz w:val="20"/>
                <w:szCs w:val="20"/>
              </w:rPr>
            </w:pPr>
            <w:r w:rsidRPr="00D04DA2">
              <w:rPr>
                <w:rFonts w:cstheme="minorHAnsi"/>
                <w:color w:val="000000"/>
                <w:sz w:val="20"/>
                <w:szCs w:val="20"/>
              </w:rPr>
              <w:t>Regional (</w:t>
            </w:r>
            <w:r w:rsidR="00E5474F" w:rsidRPr="00D04DA2">
              <w:rPr>
                <w:rFonts w:cstheme="minorHAnsi"/>
                <w:color w:val="000000"/>
                <w:sz w:val="20"/>
                <w:szCs w:val="20"/>
              </w:rPr>
              <w:t>EBRD</w:t>
            </w:r>
            <w:r w:rsidR="00971954" w:rsidRPr="00D04DA2">
              <w:rPr>
                <w:rFonts w:cstheme="minorHAnsi"/>
                <w:color w:val="000000"/>
                <w:sz w:val="20"/>
                <w:szCs w:val="20"/>
              </w:rPr>
              <w:t xml:space="preserve"> economies</w:t>
            </w:r>
            <w:r w:rsidRPr="00D04DA2">
              <w:rPr>
                <w:rFonts w:cstheme="minorHAns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17CAF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37 economies</w:t>
            </w:r>
          </w:p>
        </w:tc>
        <w:tc>
          <w:tcPr>
            <w:tcW w:w="1418" w:type="dxa"/>
            <w:tcBorders>
              <w:top w:val="single" w:sz="4" w:space="0" w:color="auto"/>
              <w:left w:val="single" w:sz="4" w:space="0" w:color="auto"/>
              <w:bottom w:val="single" w:sz="4" w:space="0" w:color="auto"/>
              <w:right w:val="single" w:sz="4" w:space="0" w:color="auto"/>
            </w:tcBorders>
          </w:tcPr>
          <w:p w14:paraId="2C2AF6EE" w14:textId="2A85DA1F" w:rsidR="00E5474F" w:rsidRPr="00D04DA2" w:rsidRDefault="00375D43" w:rsidP="00D04DA2">
            <w:pPr>
              <w:spacing w:after="0" w:line="240" w:lineRule="auto"/>
              <w:contextualSpacing/>
              <w:rPr>
                <w:rFonts w:cstheme="minorHAnsi"/>
                <w:color w:val="000000"/>
                <w:sz w:val="20"/>
                <w:szCs w:val="20"/>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A4F3F" w14:textId="5834D1E8" w:rsidR="00E5474F" w:rsidRPr="00D04DA2" w:rsidRDefault="00A72C99" w:rsidP="00D04DA2">
            <w:pPr>
              <w:spacing w:after="0" w:line="240" w:lineRule="auto"/>
              <w:contextualSpacing/>
              <w:rPr>
                <w:rFonts w:cstheme="minorHAnsi"/>
                <w:color w:val="000000"/>
                <w:sz w:val="20"/>
                <w:szCs w:val="20"/>
              </w:rPr>
            </w:pPr>
            <w:r w:rsidRPr="00D04DA2">
              <w:rPr>
                <w:rFonts w:cstheme="minorHAnsi"/>
                <w:color w:val="000000"/>
                <w:sz w:val="20"/>
                <w:szCs w:val="20"/>
              </w:rPr>
              <w:t>E</w:t>
            </w:r>
            <w:r w:rsidR="00E5474F" w:rsidRPr="00D04DA2">
              <w:rPr>
                <w:rFonts w:cstheme="minorHAnsi"/>
                <w:color w:val="000000"/>
                <w:sz w:val="20"/>
                <w:szCs w:val="20"/>
              </w:rPr>
              <w:t xml:space="preserve">very </w:t>
            </w:r>
            <w:r w:rsidRPr="00D04DA2">
              <w:rPr>
                <w:rFonts w:cstheme="minorHAnsi"/>
                <w:color w:val="000000"/>
                <w:sz w:val="20"/>
                <w:szCs w:val="20"/>
              </w:rPr>
              <w:t>several</w:t>
            </w:r>
            <w:r w:rsidR="00E5474F" w:rsidRPr="00D04DA2">
              <w:rPr>
                <w:rFonts w:cstheme="minorHAnsi"/>
                <w:color w:val="000000"/>
                <w:sz w:val="20"/>
                <w:szCs w:val="20"/>
              </w:rPr>
              <w:t xml:space="preserve"> years and separately for each country</w:t>
            </w:r>
            <w:r w:rsidRPr="00D04DA2">
              <w:rPr>
                <w:rFonts w:cstheme="minorHAnsi"/>
                <w:color w:val="000000"/>
                <w:sz w:val="20"/>
                <w:szCs w:val="20"/>
              </w:rPr>
              <w:t>.</w:t>
            </w:r>
          </w:p>
          <w:p w14:paraId="2A07F882" w14:textId="77777777" w:rsidR="00A72C99" w:rsidRPr="00D04DA2" w:rsidRDefault="00A72C99" w:rsidP="00D04DA2">
            <w:pPr>
              <w:spacing w:after="0" w:line="240" w:lineRule="auto"/>
              <w:contextualSpacing/>
              <w:rPr>
                <w:rFonts w:cstheme="minorHAnsi"/>
                <w:color w:val="000000"/>
                <w:sz w:val="20"/>
                <w:szCs w:val="20"/>
              </w:rPr>
            </w:pPr>
          </w:p>
          <w:p w14:paraId="49D2A060" w14:textId="764FFC8C" w:rsidR="00A72C99" w:rsidRPr="00D04DA2" w:rsidRDefault="00A72C99" w:rsidP="00D04DA2">
            <w:pPr>
              <w:spacing w:after="0" w:line="240" w:lineRule="auto"/>
              <w:contextualSpacing/>
              <w:rPr>
                <w:rFonts w:cstheme="minorHAnsi"/>
                <w:color w:val="000000"/>
                <w:sz w:val="20"/>
                <w:szCs w:val="20"/>
              </w:rPr>
            </w:pPr>
            <w:r w:rsidRPr="00D04DA2">
              <w:rPr>
                <w:rFonts w:cstheme="minorHAnsi"/>
                <w:color w:val="000000"/>
                <w:sz w:val="20"/>
                <w:szCs w:val="20"/>
              </w:rPr>
              <w:t>The indicator is published for 2012-</w:t>
            </w:r>
            <w:r w:rsidR="004830E3" w:rsidRPr="00D04DA2">
              <w:rPr>
                <w:rFonts w:cstheme="minorHAnsi"/>
                <w:color w:val="000000"/>
                <w:sz w:val="20"/>
                <w:szCs w:val="20"/>
              </w:rPr>
              <w:t>2021</w:t>
            </w:r>
          </w:p>
        </w:tc>
        <w:tc>
          <w:tcPr>
            <w:tcW w:w="1664" w:type="dxa"/>
            <w:tcBorders>
              <w:top w:val="single" w:sz="4" w:space="0" w:color="auto"/>
              <w:left w:val="nil"/>
              <w:bottom w:val="single" w:sz="4" w:space="0" w:color="auto"/>
              <w:right w:val="single" w:sz="4" w:space="0" w:color="auto"/>
            </w:tcBorders>
            <w:shd w:val="clear" w:color="auto" w:fill="auto"/>
          </w:tcPr>
          <w:p w14:paraId="6BBEBA4F" w14:textId="4E985C18" w:rsidR="00E5474F" w:rsidRPr="00D04DA2" w:rsidRDefault="00FA1285" w:rsidP="00D04DA2">
            <w:pPr>
              <w:spacing w:after="0" w:line="240" w:lineRule="auto"/>
              <w:contextualSpacing/>
              <w:rPr>
                <w:rFonts w:cstheme="minorHAnsi"/>
                <w:color w:val="0563C1"/>
                <w:sz w:val="20"/>
                <w:szCs w:val="20"/>
                <w:u w:val="single"/>
              </w:rPr>
            </w:pPr>
            <w:hyperlink r:id="rId38" w:history="1">
              <w:r w:rsidR="002E57D4" w:rsidRPr="00D04DA2">
                <w:rPr>
                  <w:rStyle w:val="Hyperlink"/>
                  <w:rFonts w:cstheme="minorHAnsi"/>
                  <w:sz w:val="20"/>
                  <w:szCs w:val="20"/>
                </w:rPr>
                <w:t>https://www.ebrd.com/what-we-do/sectors/legal-reform/corporate-governance/sector-assessment.html</w:t>
              </w:r>
            </w:hyperlink>
          </w:p>
          <w:p w14:paraId="5CD8F941" w14:textId="77777777" w:rsidR="002E57D4" w:rsidRPr="00D04DA2" w:rsidRDefault="002E57D4" w:rsidP="00D04DA2">
            <w:pPr>
              <w:spacing w:after="0" w:line="240" w:lineRule="auto"/>
              <w:contextualSpacing/>
              <w:rPr>
                <w:rFonts w:cstheme="minorHAnsi"/>
                <w:color w:val="0563C1"/>
                <w:sz w:val="20"/>
                <w:szCs w:val="20"/>
                <w:u w:val="single"/>
              </w:rPr>
            </w:pPr>
          </w:p>
          <w:p w14:paraId="305F6EA0" w14:textId="5A1FB90C" w:rsidR="00E5474F" w:rsidRPr="00D04DA2" w:rsidRDefault="002E57D4" w:rsidP="00D04DA2">
            <w:pPr>
              <w:spacing w:after="0" w:line="240" w:lineRule="auto"/>
              <w:contextualSpacing/>
              <w:rPr>
                <w:rFonts w:cstheme="minorHAnsi"/>
                <w:b/>
                <w:bCs/>
                <w:color w:val="0563C1"/>
                <w:sz w:val="20"/>
                <w:szCs w:val="20"/>
              </w:rPr>
            </w:pPr>
            <w:r w:rsidRPr="00D04DA2">
              <w:rPr>
                <w:rFonts w:cstheme="minorHAnsi"/>
                <w:b/>
                <w:bCs/>
                <w:color w:val="FF0000"/>
                <w:sz w:val="20"/>
                <w:szCs w:val="20"/>
              </w:rPr>
              <w:t xml:space="preserve">The data </w:t>
            </w:r>
            <w:r w:rsidR="00407B09" w:rsidRPr="00D04DA2">
              <w:rPr>
                <w:rFonts w:cstheme="minorHAnsi"/>
                <w:b/>
                <w:bCs/>
                <w:color w:val="FF0000"/>
                <w:sz w:val="20"/>
                <w:szCs w:val="20"/>
              </w:rPr>
              <w:t>is</w:t>
            </w:r>
            <w:r w:rsidRPr="00D04DA2">
              <w:rPr>
                <w:rFonts w:cstheme="minorHAnsi"/>
                <w:b/>
                <w:bCs/>
                <w:color w:val="FF0000"/>
                <w:sz w:val="20"/>
                <w:szCs w:val="20"/>
              </w:rPr>
              <w:t xml:space="preserve"> </w:t>
            </w:r>
            <w:r w:rsidR="008D7F00" w:rsidRPr="00D04DA2">
              <w:rPr>
                <w:rFonts w:cstheme="minorHAnsi"/>
                <w:b/>
                <w:bCs/>
                <w:color w:val="FF0000"/>
                <w:sz w:val="20"/>
                <w:szCs w:val="20"/>
              </w:rPr>
              <w:t>presented</w:t>
            </w:r>
            <w:r w:rsidRPr="00D04DA2">
              <w:rPr>
                <w:rFonts w:cstheme="minorHAnsi"/>
                <w:b/>
                <w:bCs/>
                <w:color w:val="FF0000"/>
                <w:sz w:val="20"/>
                <w:szCs w:val="20"/>
              </w:rPr>
              <w:t xml:space="preserve"> in </w:t>
            </w:r>
            <w:r w:rsidR="008D7F00" w:rsidRPr="00D04DA2">
              <w:rPr>
                <w:rFonts w:cstheme="minorHAnsi"/>
                <w:b/>
                <w:bCs/>
                <w:color w:val="FF0000"/>
                <w:sz w:val="20"/>
                <w:szCs w:val="20"/>
              </w:rPr>
              <w:t>chart</w:t>
            </w:r>
            <w:r w:rsidRPr="00D04DA2">
              <w:rPr>
                <w:rFonts w:cstheme="minorHAnsi"/>
                <w:b/>
                <w:bCs/>
                <w:color w:val="FF0000"/>
                <w:sz w:val="20"/>
                <w:szCs w:val="20"/>
              </w:rPr>
              <w:t xml:space="preserve"> only. It is not currently available in an editable format.</w:t>
            </w:r>
          </w:p>
        </w:tc>
      </w:tr>
      <w:tr w:rsidR="00500C09" w:rsidRPr="00D04DA2" w14:paraId="522EDD6F"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6B6D4F6C" w14:textId="5DC5E532"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3</w:t>
            </w:r>
            <w:r w:rsidR="319A4F01" w:rsidRPr="00D04DA2">
              <w:rPr>
                <w:rFonts w:cstheme="minorHAnsi"/>
                <w:color w:val="000000" w:themeColor="text1"/>
                <w:sz w:val="20"/>
                <w:szCs w:val="20"/>
              </w:rPr>
              <w:t>4</w:t>
            </w:r>
          </w:p>
        </w:tc>
        <w:tc>
          <w:tcPr>
            <w:tcW w:w="1341" w:type="dxa"/>
            <w:tcBorders>
              <w:top w:val="single" w:sz="4" w:space="0" w:color="auto"/>
              <w:left w:val="single" w:sz="4" w:space="0" w:color="auto"/>
              <w:bottom w:val="single" w:sz="4" w:space="0" w:color="auto"/>
              <w:right w:val="nil"/>
            </w:tcBorders>
            <w:shd w:val="clear" w:color="auto" w:fill="auto"/>
          </w:tcPr>
          <w:p w14:paraId="5B8CE3A2"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Protecting minority investors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705B25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409884EF" w14:textId="0F1D7971"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Shareholder protection index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3094EC" w14:textId="53BF7A1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Score </w:t>
            </w:r>
            <w:r w:rsidR="00A72C99" w:rsidRPr="00D04DA2">
              <w:rPr>
                <w:rFonts w:cstheme="minorHAnsi"/>
                <w:color w:val="000000"/>
                <w:sz w:val="20"/>
                <w:szCs w:val="20"/>
              </w:rPr>
              <w:t>of</w:t>
            </w:r>
          </w:p>
          <w:p w14:paraId="28D34896" w14:textId="47F9D03E"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0</w:t>
            </w:r>
            <w:r w:rsidR="00A72C99" w:rsidRPr="00D04DA2">
              <w:rPr>
                <w:rFonts w:cstheme="minorHAnsi"/>
                <w:color w:val="000000"/>
                <w:sz w:val="20"/>
                <w:szCs w:val="20"/>
              </w:rPr>
              <w:t>-</w:t>
            </w:r>
            <w:r w:rsidRPr="00D04DA2">
              <w:rPr>
                <w:rFonts w:cstheme="minorHAnsi"/>
                <w:color w:val="000000"/>
                <w:sz w:val="20"/>
                <w:szCs w:val="20"/>
              </w:rPr>
              <w:t>1</w:t>
            </w:r>
          </w:p>
          <w:p w14:paraId="47E64122" w14:textId="73896C0D" w:rsidR="00F033E1" w:rsidRPr="00D04DA2" w:rsidRDefault="00577FC3" w:rsidP="00D04DA2">
            <w:pPr>
              <w:spacing w:after="0" w:line="240" w:lineRule="auto"/>
              <w:contextualSpacing/>
              <w:rPr>
                <w:rFonts w:cstheme="minorHAnsi"/>
                <w:color w:val="000000"/>
                <w:sz w:val="20"/>
                <w:szCs w:val="20"/>
              </w:rPr>
            </w:pPr>
            <w:r w:rsidRPr="00D04DA2">
              <w:rPr>
                <w:rFonts w:cstheme="minorHAnsi"/>
                <w:color w:val="000000"/>
                <w:sz w:val="20"/>
                <w:szCs w:val="20"/>
              </w:rPr>
              <w:t>(</w:t>
            </w:r>
            <w:r w:rsidR="00993099" w:rsidRPr="00D04DA2">
              <w:rPr>
                <w:rFonts w:cstheme="minorHAnsi"/>
                <w:color w:val="000000"/>
                <w:sz w:val="20"/>
                <w:szCs w:val="20"/>
              </w:rPr>
              <w:t xml:space="preserve">where </w:t>
            </w:r>
            <w:r w:rsidR="00F033E1" w:rsidRPr="00D04DA2">
              <w:rPr>
                <w:rFonts w:cstheme="minorHAnsi"/>
                <w:color w:val="000000"/>
                <w:sz w:val="20"/>
                <w:szCs w:val="20"/>
              </w:rPr>
              <w:t>0</w:t>
            </w:r>
          </w:p>
          <w:p w14:paraId="72726A8F" w14:textId="445FB7F5" w:rsidR="00E5474F" w:rsidRPr="00D04DA2" w:rsidRDefault="00993099" w:rsidP="00D04DA2">
            <w:pPr>
              <w:spacing w:after="0" w:line="240" w:lineRule="auto"/>
              <w:contextualSpacing/>
              <w:rPr>
                <w:rFonts w:cstheme="minorHAnsi"/>
                <w:color w:val="000000"/>
                <w:sz w:val="20"/>
                <w:szCs w:val="20"/>
              </w:rPr>
            </w:pPr>
            <w:r w:rsidRPr="00D04DA2">
              <w:rPr>
                <w:rFonts w:cstheme="minorHAnsi"/>
                <w:color w:val="000000"/>
                <w:sz w:val="20"/>
                <w:szCs w:val="20"/>
              </w:rPr>
              <w:t>represents</w:t>
            </w:r>
            <w:r w:rsidR="00F033E1" w:rsidRPr="00D04DA2">
              <w:rPr>
                <w:rFonts w:cstheme="minorHAnsi"/>
                <w:color w:val="000000"/>
                <w:sz w:val="20"/>
                <w:szCs w:val="20"/>
              </w:rPr>
              <w:t xml:space="preserve"> no or worst protectio</w:t>
            </w:r>
            <w:r w:rsidRPr="00D04DA2">
              <w:rPr>
                <w:rFonts w:cstheme="minorHAnsi"/>
                <w:color w:val="000000"/>
                <w:sz w:val="20"/>
                <w:szCs w:val="20"/>
              </w:rPr>
              <w:t>n</w:t>
            </w:r>
            <w:r w:rsidR="00A72C99" w:rsidRPr="00D04DA2">
              <w:rPr>
                <w:rFonts w:cstheme="minorHAnsi"/>
                <w:color w:val="000000"/>
                <w:sz w:val="20"/>
                <w:szCs w:val="20"/>
              </w:rPr>
              <w:t xml:space="preserve">; </w:t>
            </w:r>
            <w:r w:rsidR="00F033E1" w:rsidRPr="00D04DA2">
              <w:rPr>
                <w:rFonts w:cstheme="minorHAnsi"/>
                <w:color w:val="000000"/>
                <w:sz w:val="20"/>
                <w:szCs w:val="20"/>
              </w:rPr>
              <w:t>1</w:t>
            </w:r>
            <w:r w:rsidR="00A72C99" w:rsidRPr="00D04DA2">
              <w:rPr>
                <w:rFonts w:cstheme="minorHAnsi"/>
                <w:color w:val="000000"/>
                <w:sz w:val="20"/>
                <w:szCs w:val="20"/>
              </w:rPr>
              <w:t xml:space="preserve"> </w:t>
            </w:r>
            <w:r w:rsidRPr="00D04DA2">
              <w:rPr>
                <w:rFonts w:cstheme="minorHAnsi"/>
                <w:color w:val="000000"/>
                <w:sz w:val="20"/>
                <w:szCs w:val="20"/>
              </w:rPr>
              <w:t xml:space="preserve">represents </w:t>
            </w:r>
            <w:r w:rsidR="00F033E1" w:rsidRPr="00D04DA2">
              <w:rPr>
                <w:rFonts w:cstheme="minorHAnsi"/>
                <w:color w:val="000000"/>
                <w:sz w:val="20"/>
                <w:szCs w:val="20"/>
              </w:rPr>
              <w:t xml:space="preserve">maximum </w:t>
            </w:r>
            <w:r w:rsidR="00A72C99" w:rsidRPr="00D04DA2">
              <w:rPr>
                <w:rFonts w:cstheme="minorHAnsi"/>
                <w:color w:val="000000"/>
                <w:sz w:val="20"/>
                <w:szCs w:val="20"/>
              </w:rPr>
              <w:t>or best protectio</w:t>
            </w:r>
            <w:r w:rsidR="006D1973" w:rsidRPr="00D04DA2">
              <w:rPr>
                <w:rFonts w:cstheme="minorHAnsi"/>
                <w:color w:val="000000"/>
                <w:sz w:val="20"/>
                <w:szCs w:val="20"/>
              </w:rPr>
              <w:t>n</w:t>
            </w:r>
            <w:r w:rsidR="00577FC3"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A6EEB0F" w14:textId="4C76FB2D"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University of Cambridge</w:t>
            </w:r>
            <w:r w:rsidR="00B910CC">
              <w:rPr>
                <w:rFonts w:cstheme="minorHAnsi"/>
                <w:color w:val="000000"/>
                <w:sz w:val="20"/>
                <w:szCs w:val="20"/>
              </w:rPr>
              <w:t xml:space="preserve"> - </w:t>
            </w:r>
            <w:r w:rsidR="00B910CC" w:rsidRPr="00D04DA2">
              <w:rPr>
                <w:rFonts w:cstheme="minorHAnsi"/>
                <w:color w:val="000000"/>
                <w:sz w:val="20"/>
                <w:szCs w:val="20"/>
              </w:rPr>
              <w:t>Centre for Business Research</w:t>
            </w:r>
          </w:p>
        </w:tc>
        <w:tc>
          <w:tcPr>
            <w:tcW w:w="1341" w:type="dxa"/>
            <w:tcBorders>
              <w:top w:val="single" w:sz="4" w:space="0" w:color="auto"/>
              <w:left w:val="nil"/>
              <w:bottom w:val="single" w:sz="4" w:space="0" w:color="auto"/>
              <w:right w:val="single" w:sz="4" w:space="0" w:color="auto"/>
            </w:tcBorders>
            <w:shd w:val="clear" w:color="auto" w:fill="auto"/>
          </w:tcPr>
          <w:p w14:paraId="7C3C62B5" w14:textId="00825270" w:rsidR="00E5474F" w:rsidRPr="00D04DA2" w:rsidRDefault="00E5474F" w:rsidP="00D04DA2">
            <w:pPr>
              <w:spacing w:after="0" w:line="240" w:lineRule="auto"/>
              <w:contextualSpacing/>
              <w:rPr>
                <w:rFonts w:eastAsia="Helvetica" w:cstheme="minorHAnsi"/>
                <w:color w:val="333333"/>
                <w:sz w:val="20"/>
                <w:szCs w:val="20"/>
              </w:rPr>
            </w:pPr>
            <w:r w:rsidRPr="00D04DA2">
              <w:rPr>
                <w:rFonts w:eastAsia="Times New Roman" w:cstheme="minorHAnsi"/>
                <w:color w:val="000000"/>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AB9A003" w14:textId="0A13268D"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The </w:t>
            </w:r>
            <w:r w:rsidR="004B6F95" w:rsidRPr="00D04DA2">
              <w:rPr>
                <w:rFonts w:cstheme="minorHAnsi"/>
                <w:color w:val="000000"/>
                <w:sz w:val="20"/>
                <w:szCs w:val="20"/>
              </w:rPr>
              <w:t>shareholder protection</w:t>
            </w:r>
            <w:r w:rsidRPr="00D04DA2">
              <w:rPr>
                <w:rFonts w:cstheme="minorHAnsi"/>
                <w:color w:val="000000"/>
                <w:sz w:val="20"/>
                <w:szCs w:val="20"/>
              </w:rPr>
              <w:t xml:space="preserve"> index consists of ten core variables</w:t>
            </w:r>
            <w:r w:rsidR="004B6F95" w:rsidRPr="00D04DA2">
              <w:rPr>
                <w:rFonts w:cstheme="minorHAnsi"/>
                <w:color w:val="000000"/>
                <w:sz w:val="20"/>
                <w:szCs w:val="20"/>
              </w:rPr>
              <w:t>,</w:t>
            </w:r>
            <w:r w:rsidRPr="00D04DA2">
              <w:rPr>
                <w:rFonts w:cstheme="minorHAnsi"/>
                <w:color w:val="000000"/>
                <w:sz w:val="20"/>
                <w:szCs w:val="20"/>
              </w:rPr>
              <w:t xml:space="preserve"> which act as proxies for shareholder protection law to code the development of the law for a wider range of countries for a shorter period.</w:t>
            </w:r>
          </w:p>
          <w:p w14:paraId="595D65A7" w14:textId="77777777" w:rsidR="00407B09" w:rsidRPr="00D04DA2" w:rsidRDefault="00407B09" w:rsidP="00D04DA2">
            <w:pPr>
              <w:spacing w:after="0" w:line="240" w:lineRule="auto"/>
              <w:contextualSpacing/>
              <w:rPr>
                <w:rFonts w:cstheme="minorHAnsi"/>
                <w:color w:val="000000"/>
                <w:sz w:val="20"/>
                <w:szCs w:val="20"/>
              </w:rPr>
            </w:pPr>
          </w:p>
          <w:p w14:paraId="3521FC4C" w14:textId="77777777" w:rsidR="00042BD3" w:rsidRPr="00D04DA2" w:rsidRDefault="005A58F8"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ten core variables measure the following aspects:</w:t>
            </w:r>
          </w:p>
          <w:p w14:paraId="3FAA048A" w14:textId="448C7AA9" w:rsidR="005A58F8" w:rsidRPr="00D04DA2" w:rsidRDefault="00A31FFD"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themeColor="text1"/>
                <w:sz w:val="20"/>
                <w:szCs w:val="20"/>
              </w:rPr>
              <w:t xml:space="preserve">general meeting </w:t>
            </w:r>
            <w:r w:rsidR="0098524A" w:rsidRPr="00D04DA2">
              <w:rPr>
                <w:rFonts w:cstheme="minorHAnsi"/>
                <w:color w:val="000000"/>
                <w:sz w:val="20"/>
                <w:szCs w:val="20"/>
              </w:rPr>
              <w:t>power for</w:t>
            </w:r>
            <w:r w:rsidRPr="00D04DA2">
              <w:rPr>
                <w:rFonts w:cstheme="minorHAnsi"/>
                <w:color w:val="000000"/>
                <w:sz w:val="20"/>
                <w:szCs w:val="20"/>
              </w:rPr>
              <w:t xml:space="preserve"> </w:t>
            </w:r>
            <w:r w:rsidRPr="00D04DA2">
              <w:rPr>
                <w:rFonts w:cstheme="minorHAnsi"/>
                <w:color w:val="000000" w:themeColor="text1"/>
                <w:sz w:val="20"/>
                <w:szCs w:val="20"/>
              </w:rPr>
              <w:t xml:space="preserve">approval </w:t>
            </w:r>
            <w:r w:rsidR="0098524A" w:rsidRPr="00D04DA2">
              <w:rPr>
                <w:rFonts w:cstheme="minorHAnsi"/>
                <w:color w:val="000000"/>
                <w:sz w:val="20"/>
                <w:szCs w:val="20"/>
              </w:rPr>
              <w:t>of</w:t>
            </w:r>
            <w:r w:rsidRPr="00D04DA2">
              <w:rPr>
                <w:rFonts w:cstheme="minorHAnsi"/>
                <w:color w:val="000000" w:themeColor="text1"/>
                <w:sz w:val="20"/>
                <w:szCs w:val="20"/>
              </w:rPr>
              <w:t xml:space="preserve"> a sale of assets</w:t>
            </w:r>
          </w:p>
          <w:p w14:paraId="346707B8" w14:textId="530EB963" w:rsidR="00A31FFD" w:rsidRPr="00D04DA2" w:rsidRDefault="0098524A"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a</w:t>
            </w:r>
            <w:r w:rsidR="00A31FFD" w:rsidRPr="00D04DA2">
              <w:rPr>
                <w:rFonts w:cstheme="minorHAnsi"/>
                <w:color w:val="000000"/>
                <w:sz w:val="20"/>
                <w:szCs w:val="20"/>
              </w:rPr>
              <w:t>genda setting</w:t>
            </w:r>
            <w:r w:rsidRPr="00D04DA2">
              <w:rPr>
                <w:rFonts w:cstheme="minorHAnsi"/>
                <w:color w:val="000000"/>
                <w:sz w:val="20"/>
                <w:szCs w:val="20"/>
              </w:rPr>
              <w:t xml:space="preserve"> power</w:t>
            </w:r>
          </w:p>
          <w:p w14:paraId="6CD63ABD" w14:textId="5988CFDD" w:rsidR="00BE44E9" w:rsidRPr="00D04DA2" w:rsidRDefault="00BE44E9"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anticipation of shareholder decision anticipated</w:t>
            </w:r>
          </w:p>
          <w:p w14:paraId="7B415083" w14:textId="51715C61" w:rsidR="00BE44E9" w:rsidRPr="00D04DA2" w:rsidRDefault="00BE44E9"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prohibition of multiple voting rights</w:t>
            </w:r>
          </w:p>
          <w:p w14:paraId="6A544B7C" w14:textId="4C6361AF" w:rsidR="00BE44E9" w:rsidRPr="00D04DA2" w:rsidRDefault="00240D4A"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independent board members</w:t>
            </w:r>
          </w:p>
          <w:p w14:paraId="7C5225E5" w14:textId="57B199C8" w:rsidR="00240D4A" w:rsidRPr="00D04DA2" w:rsidRDefault="00240D4A"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feasibility of director’s dismissal</w:t>
            </w:r>
          </w:p>
          <w:p w14:paraId="3611D48B" w14:textId="3EAB6431" w:rsidR="00543A79" w:rsidRPr="00D04DA2" w:rsidRDefault="00240D4A"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private enforcement of director</w:t>
            </w:r>
            <w:r w:rsidR="00543A79" w:rsidRPr="00D04DA2">
              <w:rPr>
                <w:rFonts w:cstheme="minorHAnsi"/>
                <w:color w:val="000000"/>
                <w:sz w:val="20"/>
                <w:szCs w:val="20"/>
              </w:rPr>
              <w:t>s</w:t>
            </w:r>
            <w:r w:rsidR="00FB743E">
              <w:rPr>
                <w:rFonts w:cstheme="minorHAnsi"/>
                <w:color w:val="000000"/>
                <w:sz w:val="20"/>
                <w:szCs w:val="20"/>
              </w:rPr>
              <w:t>’</w:t>
            </w:r>
            <w:r w:rsidR="00543A79" w:rsidRPr="00D04DA2">
              <w:rPr>
                <w:rFonts w:cstheme="minorHAnsi"/>
                <w:color w:val="000000"/>
                <w:sz w:val="20"/>
                <w:szCs w:val="20"/>
              </w:rPr>
              <w:t xml:space="preserve"> duties (derivative suits)</w:t>
            </w:r>
          </w:p>
          <w:p w14:paraId="38FEC72E" w14:textId="35BFDFEB" w:rsidR="00543A79" w:rsidRPr="00D04DA2" w:rsidRDefault="00543A79"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shareholder action against resolutions of the general meeting</w:t>
            </w:r>
          </w:p>
          <w:p w14:paraId="5EA595DF" w14:textId="37F6FF5D" w:rsidR="00543A79" w:rsidRPr="00D04DA2" w:rsidRDefault="00DC1AB1"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mandatory bid</w:t>
            </w:r>
          </w:p>
          <w:p w14:paraId="33A3A5CD" w14:textId="643DD689" w:rsidR="00E5474F" w:rsidRPr="00D04DA2" w:rsidRDefault="00DC1AB1" w:rsidP="00D04DA2">
            <w:pPr>
              <w:pStyle w:val="ListParagraph"/>
              <w:numPr>
                <w:ilvl w:val="0"/>
                <w:numId w:val="4"/>
              </w:numPr>
              <w:spacing w:after="0" w:line="240" w:lineRule="auto"/>
              <w:rPr>
                <w:rFonts w:cstheme="minorHAnsi"/>
                <w:color w:val="000000"/>
                <w:sz w:val="20"/>
                <w:szCs w:val="20"/>
              </w:rPr>
            </w:pPr>
            <w:r w:rsidRPr="00D04DA2">
              <w:rPr>
                <w:rFonts w:cstheme="minorHAnsi"/>
                <w:color w:val="000000"/>
                <w:sz w:val="20"/>
                <w:szCs w:val="20"/>
              </w:rPr>
              <w:t>disclosure of major share ownership</w:t>
            </w:r>
          </w:p>
        </w:tc>
        <w:tc>
          <w:tcPr>
            <w:tcW w:w="1485" w:type="dxa"/>
            <w:tcBorders>
              <w:top w:val="single" w:sz="4" w:space="0" w:color="auto"/>
              <w:left w:val="single" w:sz="4" w:space="0" w:color="auto"/>
              <w:bottom w:val="single" w:sz="4" w:space="0" w:color="auto"/>
              <w:right w:val="single" w:sz="4" w:space="0" w:color="auto"/>
            </w:tcBorders>
          </w:tcPr>
          <w:p w14:paraId="288D3022" w14:textId="13773C3E" w:rsidR="00E5474F" w:rsidRPr="00D04DA2" w:rsidRDefault="00D647D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81C809E" w14:textId="55A7FC76"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 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7EEA63" w14:textId="38B8D317" w:rsidR="00E5474F" w:rsidRPr="00D04DA2" w:rsidDel="00935518" w:rsidRDefault="00C77F34" w:rsidP="00D04DA2">
            <w:pPr>
              <w:spacing w:after="0" w:line="240" w:lineRule="auto"/>
              <w:contextualSpacing/>
              <w:rPr>
                <w:rFonts w:cstheme="minorHAnsi"/>
                <w:color w:val="000000"/>
                <w:sz w:val="20"/>
                <w:szCs w:val="20"/>
              </w:rPr>
            </w:pPr>
            <w:r>
              <w:rPr>
                <w:rFonts w:cstheme="minorHAnsi"/>
                <w:color w:val="000000"/>
                <w:sz w:val="20"/>
                <w:szCs w:val="20"/>
              </w:rPr>
              <w:t>3</w:t>
            </w:r>
            <w:r w:rsidR="003C52A6" w:rsidRPr="007B6FFB">
              <w:rPr>
                <w:rFonts w:cstheme="minorHAnsi"/>
                <w:color w:val="000000"/>
                <w:sz w:val="20"/>
                <w:szCs w:val="20"/>
              </w:rPr>
              <w:t>0</w:t>
            </w:r>
            <w:r w:rsidR="00E5474F" w:rsidRPr="00D04DA2">
              <w:rPr>
                <w:rFonts w:cstheme="minorHAnsi"/>
                <w:color w:val="000000"/>
                <w:sz w:val="20"/>
                <w:szCs w:val="20"/>
              </w:rPr>
              <w:t xml:space="preserve"> economies</w:t>
            </w:r>
          </w:p>
        </w:tc>
        <w:tc>
          <w:tcPr>
            <w:tcW w:w="1418" w:type="dxa"/>
            <w:tcBorders>
              <w:top w:val="single" w:sz="4" w:space="0" w:color="auto"/>
              <w:left w:val="nil"/>
              <w:bottom w:val="single" w:sz="4" w:space="0" w:color="auto"/>
              <w:right w:val="single" w:sz="4" w:space="0" w:color="auto"/>
            </w:tcBorders>
          </w:tcPr>
          <w:p w14:paraId="7578E752" w14:textId="454395CD" w:rsidR="00E5474F" w:rsidRPr="00D04DA2" w:rsidRDefault="00C77F34" w:rsidP="00D04DA2">
            <w:pPr>
              <w:spacing w:after="0" w:line="240" w:lineRule="auto"/>
              <w:contextualSpacing/>
              <w:rPr>
                <w:rFonts w:cstheme="minorHAnsi"/>
                <w:color w:val="000000"/>
                <w:sz w:val="20"/>
                <w:szCs w:val="20"/>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F2D29F" w14:textId="71EEF30A" w:rsidR="00E5474F" w:rsidRPr="00D04DA2" w:rsidRDefault="00C94B36" w:rsidP="00D04DA2">
            <w:pPr>
              <w:spacing w:after="0" w:line="240" w:lineRule="auto"/>
              <w:contextualSpacing/>
              <w:rPr>
                <w:rFonts w:cstheme="minorHAnsi"/>
                <w:color w:val="000000"/>
                <w:sz w:val="20"/>
                <w:szCs w:val="20"/>
              </w:rPr>
            </w:pPr>
            <w:r w:rsidRPr="00D04DA2">
              <w:rPr>
                <w:rFonts w:cstheme="minorHAnsi"/>
                <w:color w:val="000000"/>
                <w:sz w:val="20"/>
                <w:szCs w:val="20"/>
              </w:rPr>
              <w:t>The indicator is published for</w:t>
            </w:r>
            <w:r w:rsidR="00E5474F" w:rsidRPr="00D04DA2">
              <w:rPr>
                <w:rFonts w:cstheme="minorHAnsi"/>
                <w:color w:val="000000"/>
                <w:sz w:val="20"/>
                <w:szCs w:val="20"/>
              </w:rPr>
              <w:t xml:space="preserve"> 1990</w:t>
            </w:r>
            <w:r w:rsidRPr="00D04DA2">
              <w:rPr>
                <w:rFonts w:cstheme="minorHAnsi"/>
                <w:color w:val="000000"/>
                <w:sz w:val="20"/>
                <w:szCs w:val="20"/>
              </w:rPr>
              <w:t>-</w:t>
            </w:r>
            <w:r w:rsidR="00E5474F" w:rsidRPr="00D04DA2">
              <w:rPr>
                <w:rFonts w:cstheme="minorHAnsi"/>
                <w:color w:val="000000"/>
                <w:sz w:val="20"/>
                <w:szCs w:val="20"/>
              </w:rPr>
              <w:t>2013</w:t>
            </w:r>
            <w:r w:rsidR="005561CD" w:rsidRPr="00D04DA2">
              <w:rPr>
                <w:rFonts w:cstheme="minorHAnsi"/>
                <w:color w:val="000000"/>
                <w:sz w:val="20"/>
                <w:szCs w:val="20"/>
              </w:rPr>
              <w:t>.</w:t>
            </w:r>
          </w:p>
          <w:p w14:paraId="698704DC" w14:textId="77777777" w:rsidR="00E5474F" w:rsidRPr="00D04DA2" w:rsidRDefault="00E5474F" w:rsidP="00D04DA2">
            <w:pPr>
              <w:spacing w:after="0" w:line="240" w:lineRule="auto"/>
              <w:contextualSpacing/>
              <w:rPr>
                <w:rFonts w:cstheme="minorHAnsi"/>
                <w:color w:val="0563C1"/>
                <w:sz w:val="20"/>
                <w:szCs w:val="20"/>
                <w:u w:val="single"/>
              </w:rPr>
            </w:pPr>
          </w:p>
        </w:tc>
        <w:tc>
          <w:tcPr>
            <w:tcW w:w="1664" w:type="dxa"/>
            <w:tcBorders>
              <w:top w:val="single" w:sz="4" w:space="0" w:color="auto"/>
              <w:left w:val="nil"/>
              <w:bottom w:val="single" w:sz="4" w:space="0" w:color="auto"/>
              <w:right w:val="single" w:sz="4" w:space="0" w:color="auto"/>
            </w:tcBorders>
            <w:shd w:val="clear" w:color="auto" w:fill="auto"/>
          </w:tcPr>
          <w:p w14:paraId="769B2112" w14:textId="3958A7F3" w:rsidR="00E5474F" w:rsidRPr="00D04DA2" w:rsidRDefault="00FA1285" w:rsidP="00D04DA2">
            <w:pPr>
              <w:spacing w:after="0" w:line="240" w:lineRule="auto"/>
              <w:contextualSpacing/>
              <w:rPr>
                <w:rFonts w:cstheme="minorHAnsi"/>
                <w:color w:val="0563C1"/>
                <w:sz w:val="20"/>
                <w:szCs w:val="20"/>
                <w:u w:val="single"/>
              </w:rPr>
            </w:pPr>
            <w:hyperlink r:id="rId39" w:history="1">
              <w:r w:rsidR="0068475D" w:rsidRPr="00D04DA2">
                <w:rPr>
                  <w:rStyle w:val="Hyperlink"/>
                  <w:rFonts w:cstheme="minorHAnsi"/>
                  <w:sz w:val="20"/>
                  <w:szCs w:val="20"/>
                </w:rPr>
                <w:t>https://www.repository.cam.ac.uk/bitstream/handle/1810/256566/cbr-spi-30-countries-codebook-and-methodology.pdf?sequence=9&amp;isAllowed=y</w:t>
              </w:r>
            </w:hyperlink>
          </w:p>
          <w:p w14:paraId="22993247" w14:textId="77777777" w:rsidR="0068475D" w:rsidRPr="00D04DA2" w:rsidRDefault="0068475D" w:rsidP="00D04DA2">
            <w:pPr>
              <w:spacing w:after="0" w:line="240" w:lineRule="auto"/>
              <w:contextualSpacing/>
              <w:rPr>
                <w:rFonts w:cstheme="minorHAnsi"/>
                <w:color w:val="0563C1"/>
                <w:sz w:val="20"/>
                <w:szCs w:val="20"/>
                <w:u w:val="single"/>
              </w:rPr>
            </w:pPr>
          </w:p>
          <w:p w14:paraId="7BD269B9" w14:textId="397976F6" w:rsidR="00E5474F" w:rsidRPr="00D04DA2" w:rsidRDefault="0068475D" w:rsidP="00D04DA2">
            <w:pPr>
              <w:spacing w:after="0" w:line="240" w:lineRule="auto"/>
              <w:contextualSpacing/>
              <w:rPr>
                <w:rFonts w:cstheme="minorHAnsi"/>
                <w:b/>
                <w:bCs/>
                <w:color w:val="0563C1"/>
                <w:sz w:val="20"/>
                <w:szCs w:val="20"/>
              </w:rPr>
            </w:pPr>
            <w:r w:rsidRPr="00D04DA2">
              <w:rPr>
                <w:rFonts w:cstheme="minorHAnsi"/>
                <w:b/>
                <w:bCs/>
                <w:color w:val="FF0000"/>
                <w:sz w:val="20"/>
                <w:szCs w:val="20"/>
              </w:rPr>
              <w:t xml:space="preserve">The data </w:t>
            </w:r>
            <w:r w:rsidR="00E06D56" w:rsidRPr="00D04DA2">
              <w:rPr>
                <w:rFonts w:cstheme="minorHAnsi"/>
                <w:b/>
                <w:bCs/>
                <w:color w:val="FF0000"/>
                <w:sz w:val="20"/>
                <w:szCs w:val="20"/>
              </w:rPr>
              <w:t>is</w:t>
            </w:r>
            <w:r w:rsidRPr="00D04DA2">
              <w:rPr>
                <w:rFonts w:cstheme="minorHAnsi"/>
                <w:b/>
                <w:bCs/>
                <w:color w:val="FF0000"/>
                <w:sz w:val="20"/>
                <w:szCs w:val="20"/>
              </w:rPr>
              <w:t xml:space="preserve"> available in PDF only. It is not currently available in an editable format.</w:t>
            </w:r>
          </w:p>
        </w:tc>
      </w:tr>
      <w:tr w:rsidR="00912FA5" w:rsidRPr="00D04DA2" w14:paraId="44822473"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6AF1D5A5" w14:textId="5608E172"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w:t>
            </w:r>
            <w:r w:rsidR="7D302D60" w:rsidRPr="00D04DA2">
              <w:rPr>
                <w:rFonts w:cstheme="minorHAnsi"/>
                <w:color w:val="000000" w:themeColor="text1"/>
                <w:sz w:val="20"/>
                <w:szCs w:val="20"/>
              </w:rPr>
              <w:t>5</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5A9E117A"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115CF1"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1E2791C6" w14:textId="6DABDF11" w:rsidR="00E5474F" w:rsidRPr="00D04DA2" w:rsidRDefault="00E5474F" w:rsidP="00D04DA2">
            <w:pPr>
              <w:spacing w:after="0" w:line="240" w:lineRule="auto"/>
              <w:contextualSpacing/>
              <w:rPr>
                <w:rFonts w:eastAsia="Calibri" w:cstheme="minorHAnsi"/>
                <w:sz w:val="20"/>
                <w:szCs w:val="20"/>
              </w:rPr>
            </w:pPr>
            <w:r w:rsidRPr="00D04DA2">
              <w:rPr>
                <w:rFonts w:cstheme="minorHAnsi"/>
                <w:sz w:val="20"/>
                <w:szCs w:val="20"/>
              </w:rPr>
              <w:t>Tax revenue</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101518" w14:textId="77777777" w:rsidR="00E5474F" w:rsidRPr="00D04DA2" w:rsidRDefault="00E5474F" w:rsidP="00D04DA2">
            <w:pPr>
              <w:spacing w:after="0" w:line="240" w:lineRule="auto"/>
              <w:contextualSpacing/>
              <w:rPr>
                <w:rFonts w:eastAsia="Calibri" w:cstheme="minorHAnsi"/>
                <w:sz w:val="20"/>
                <w:szCs w:val="20"/>
              </w:rPr>
            </w:pPr>
            <w:r w:rsidRPr="00D04DA2">
              <w:rPr>
                <w:rFonts w:cstheme="minorHAnsi"/>
                <w:sz w:val="20"/>
                <w:szCs w:val="20"/>
              </w:rPr>
              <w:t>Percentage of GDP</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063473" w14:textId="17E7E0B3" w:rsidR="00E5474F" w:rsidRPr="00D04DA2" w:rsidRDefault="00B57DD2" w:rsidP="00D04DA2">
            <w:pPr>
              <w:spacing w:after="0" w:line="240" w:lineRule="auto"/>
              <w:contextualSpacing/>
              <w:rPr>
                <w:rFonts w:eastAsia="Calibri" w:cstheme="minorHAnsi"/>
                <w:sz w:val="20"/>
                <w:szCs w:val="20"/>
              </w:rPr>
            </w:pPr>
            <w:r w:rsidRPr="00B57DD2">
              <w:rPr>
                <w:rFonts w:cstheme="minorHAnsi"/>
                <w:sz w:val="20"/>
                <w:szCs w:val="20"/>
              </w:rPr>
              <w:t>International Monetary Fund, Government Finance Statistics Yearbook and data files, and World Bank and OECD GDP estimates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24170E00" w14:textId="22A14D82" w:rsidR="00E5474F" w:rsidRPr="00D04DA2" w:rsidRDefault="00E5474F" w:rsidP="00D04DA2">
            <w:pPr>
              <w:spacing w:after="0" w:line="240" w:lineRule="auto"/>
              <w:contextualSpacing/>
              <w:rPr>
                <w:rFonts w:eastAsia="Helvetica" w:cstheme="minorHAnsi"/>
                <w:sz w:val="20"/>
                <w:szCs w:val="20"/>
              </w:rPr>
            </w:pPr>
            <w:r w:rsidRPr="00D04DA2">
              <w:rPr>
                <w:rFonts w:eastAsia="Helvetica" w:cstheme="minorHAnsi"/>
                <w:sz w:val="20"/>
                <w:szCs w:val="20"/>
              </w:rPr>
              <w:t>Public sector organization</w:t>
            </w:r>
          </w:p>
          <w:p w14:paraId="2380D0E5" w14:textId="77777777" w:rsidR="00E5474F" w:rsidRPr="00D04DA2" w:rsidRDefault="00E5474F" w:rsidP="00D04DA2">
            <w:pPr>
              <w:spacing w:after="0" w:line="240" w:lineRule="auto"/>
              <w:contextualSpacing/>
              <w:rPr>
                <w:rFonts w:eastAsia="Calibri" w:cstheme="minorHAnsi"/>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DAB231" w14:textId="77777777" w:rsidR="00E5474F" w:rsidRPr="00D04DA2" w:rsidRDefault="00E5474F" w:rsidP="00D04DA2">
            <w:pPr>
              <w:spacing w:after="0" w:line="240" w:lineRule="auto"/>
              <w:contextualSpacing/>
              <w:rPr>
                <w:rFonts w:eastAsia="Calibri" w:cstheme="minorHAnsi"/>
                <w:sz w:val="20"/>
                <w:szCs w:val="20"/>
              </w:rPr>
            </w:pPr>
            <w:r w:rsidRPr="00D04DA2">
              <w:rPr>
                <w:rFonts w:cstheme="minorHAnsi"/>
                <w:sz w:val="20"/>
                <w:szCs w:val="20"/>
              </w:rPr>
              <w:t>Tax revenue refers to compulsory transfers to the central government for public purposes. Certain compulsory transfers such as fines, penalties, and most social security contributions are excluded. Refunds and corrections of erroneously collected tax revenue are treated as negative revenue. ID: GC.TAX.TOTL.GD.ZS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EAF2AB" w14:textId="153CF617" w:rsidR="00E5474F" w:rsidRPr="00D04DA2" w:rsidRDefault="1838B6C1" w:rsidP="00D04DA2">
            <w:pPr>
              <w:spacing w:after="0" w:line="240" w:lineRule="auto"/>
              <w:contextualSpacing/>
              <w:rPr>
                <w:rFonts w:cstheme="minorHAnsi"/>
                <w:sz w:val="20"/>
                <w:szCs w:val="20"/>
              </w:rPr>
            </w:pPr>
            <w:r w:rsidRPr="00D04DA2">
              <w:rPr>
                <w:rFonts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F2C2D7" w14:textId="1D65B55A"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Global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297F0F" w14:textId="4CD6B842" w:rsidR="00E5474F" w:rsidRPr="00D04DA2" w:rsidRDefault="16E0EF1D" w:rsidP="00D04DA2">
            <w:pPr>
              <w:spacing w:after="0" w:line="240" w:lineRule="auto"/>
              <w:contextualSpacing/>
              <w:rPr>
                <w:rFonts w:eastAsia="Calibri"/>
                <w:sz w:val="20"/>
                <w:szCs w:val="20"/>
              </w:rPr>
            </w:pPr>
            <w:r w:rsidRPr="7D9EBBB3">
              <w:rPr>
                <w:sz w:val="20"/>
                <w:szCs w:val="20"/>
              </w:rPr>
              <w:t>148</w:t>
            </w:r>
            <w:r w:rsidR="00E5474F" w:rsidRPr="7D9EBBB3">
              <w:rPr>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386CCBD6" w14:textId="569536D5" w:rsidR="00E5474F" w:rsidRPr="00D04DA2" w:rsidRDefault="3A9F0475" w:rsidP="00D04DA2">
            <w:pPr>
              <w:spacing w:after="0" w:line="240" w:lineRule="auto"/>
              <w:contextualSpacing/>
              <w:rPr>
                <w:sz w:val="20"/>
                <w:szCs w:val="20"/>
              </w:rPr>
            </w:pPr>
            <w:r w:rsidRPr="3E08904B">
              <w:rPr>
                <w:sz w:val="20"/>
                <w:szCs w:val="20"/>
              </w:rPr>
              <w:t>14</w:t>
            </w:r>
            <w:r w:rsidR="2A2B45A8" w:rsidRPr="3E08904B">
              <w:rPr>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5C5445" w14:textId="1CDDF06F" w:rsidR="00430248" w:rsidRPr="00D04DA2" w:rsidRDefault="00E5474F" w:rsidP="00D04DA2">
            <w:pPr>
              <w:spacing w:after="0" w:line="240" w:lineRule="auto"/>
              <w:contextualSpacing/>
              <w:rPr>
                <w:rFonts w:cstheme="minorHAnsi"/>
                <w:sz w:val="20"/>
                <w:szCs w:val="20"/>
              </w:rPr>
            </w:pPr>
            <w:r w:rsidRPr="00D04DA2">
              <w:rPr>
                <w:rFonts w:cstheme="minorHAnsi"/>
                <w:sz w:val="20"/>
                <w:szCs w:val="20"/>
              </w:rPr>
              <w:t>Annual</w:t>
            </w:r>
            <w:r w:rsidR="00183D8E" w:rsidRPr="00D04DA2">
              <w:rPr>
                <w:rFonts w:cstheme="minorHAnsi"/>
                <w:sz w:val="20"/>
                <w:szCs w:val="20"/>
              </w:rPr>
              <w:t>.</w:t>
            </w:r>
          </w:p>
          <w:p w14:paraId="33B12005" w14:textId="77777777" w:rsidR="00183D8E" w:rsidRPr="00D04DA2" w:rsidRDefault="00183D8E" w:rsidP="00D04DA2">
            <w:pPr>
              <w:spacing w:after="0" w:line="240" w:lineRule="auto"/>
              <w:contextualSpacing/>
              <w:rPr>
                <w:rFonts w:cstheme="minorHAnsi"/>
                <w:sz w:val="20"/>
                <w:szCs w:val="20"/>
              </w:rPr>
            </w:pPr>
          </w:p>
          <w:p w14:paraId="59FC2AD4" w14:textId="5A62A88C" w:rsidR="00E5474F" w:rsidRPr="00D04DA2" w:rsidDel="00935518" w:rsidRDefault="2665E50F" w:rsidP="00D04DA2">
            <w:pPr>
              <w:spacing w:after="0" w:line="240" w:lineRule="auto"/>
              <w:contextualSpacing/>
              <w:rPr>
                <w:rFonts w:cstheme="minorHAnsi"/>
                <w:sz w:val="20"/>
                <w:szCs w:val="20"/>
              </w:rPr>
            </w:pPr>
            <w:r w:rsidRPr="00D04DA2">
              <w:rPr>
                <w:rFonts w:cstheme="minorHAnsi"/>
                <w:sz w:val="20"/>
                <w:szCs w:val="20"/>
              </w:rPr>
              <w:t>The indicator is published for 1972-2020.</w:t>
            </w:r>
            <w:r w:rsidR="5F248C39" w:rsidRPr="00D04DA2">
              <w:rPr>
                <w:rFonts w:cstheme="minorHAnsi"/>
                <w:sz w:val="20"/>
                <w:szCs w:val="20"/>
              </w:rPr>
              <w:t xml:space="preserve"> </w:t>
            </w:r>
            <w:r w:rsidR="00FD43D1" w:rsidRPr="00D04DA2">
              <w:rPr>
                <w:rFonts w:cstheme="minorHAnsi"/>
                <w:sz w:val="20"/>
                <w:szCs w:val="20"/>
              </w:rPr>
              <w:t>N</w:t>
            </w:r>
            <w:r w:rsidR="009E7F96" w:rsidRPr="00D04DA2">
              <w:rPr>
                <w:rFonts w:cstheme="minorHAnsi"/>
                <w:sz w:val="20"/>
                <w:szCs w:val="20"/>
              </w:rPr>
              <w:t>ote d</w:t>
            </w:r>
            <w:r w:rsidR="5F248C39" w:rsidRPr="00D04DA2">
              <w:rPr>
                <w:rFonts w:cstheme="minorHAnsi"/>
                <w:sz w:val="20"/>
                <w:szCs w:val="20"/>
              </w:rPr>
              <w:t>ata for 2020 is available for a small</w:t>
            </w:r>
            <w:r w:rsidR="00FD43D1" w:rsidRPr="00D04DA2">
              <w:rPr>
                <w:rFonts w:cstheme="minorHAnsi"/>
                <w:sz w:val="20"/>
                <w:szCs w:val="20"/>
              </w:rPr>
              <w:t>er</w:t>
            </w:r>
            <w:r w:rsidR="5F248C39" w:rsidRPr="00D04DA2">
              <w:rPr>
                <w:rFonts w:cstheme="minorHAnsi"/>
                <w:sz w:val="20"/>
                <w:szCs w:val="20"/>
              </w:rPr>
              <w:t xml:space="preserve"> </w:t>
            </w:r>
            <w:r w:rsidR="5F248C39" w:rsidRPr="00D04DA2">
              <w:rPr>
                <w:rFonts w:cstheme="minorHAnsi"/>
                <w:sz w:val="20"/>
                <w:szCs w:val="20"/>
              </w:rPr>
              <w:lastRenderedPageBreak/>
              <w:t>number of economies.</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A03F2B0" w14:textId="77777777" w:rsidR="00E5474F" w:rsidRPr="00D04DA2" w:rsidRDefault="00E5474F" w:rsidP="00D04DA2">
            <w:pPr>
              <w:spacing w:after="0" w:line="240" w:lineRule="auto"/>
              <w:contextualSpacing/>
              <w:rPr>
                <w:rFonts w:cstheme="minorHAnsi"/>
                <w:sz w:val="20"/>
                <w:szCs w:val="20"/>
              </w:rPr>
            </w:pPr>
            <w:r w:rsidRPr="00D04DA2">
              <w:rPr>
                <w:rFonts w:cstheme="minorHAnsi"/>
                <w:color w:val="0563C1"/>
                <w:sz w:val="20"/>
                <w:szCs w:val="20"/>
                <w:u w:val="single"/>
              </w:rPr>
              <w:lastRenderedPageBreak/>
              <w:t>https://data.worldbank.org/indicator/GC.TAX.TOTL.GD.ZS</w:t>
            </w:r>
          </w:p>
        </w:tc>
      </w:tr>
      <w:tr w:rsidR="00912FA5" w:rsidRPr="00D04DA2" w14:paraId="19A59262"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7FB5ED9B" w14:textId="319B679E"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w:t>
            </w:r>
            <w:r w:rsidR="00C93770">
              <w:rPr>
                <w:rFonts w:cstheme="minorHAnsi"/>
                <w:color w:val="000000" w:themeColor="text1"/>
                <w:sz w:val="20"/>
                <w:szCs w:val="20"/>
              </w:rPr>
              <w:t>6</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016947A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EF6EC5"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02795AE1" w14:textId="1BF37F53" w:rsidR="00E5474F" w:rsidRPr="00D04DA2" w:rsidRDefault="00E5474F" w:rsidP="00D04DA2">
            <w:pPr>
              <w:spacing w:after="0" w:line="240" w:lineRule="auto"/>
              <w:contextualSpacing/>
              <w:rPr>
                <w:rFonts w:cstheme="minorHAnsi"/>
                <w:color w:val="000000"/>
                <w:sz w:val="20"/>
                <w:szCs w:val="20"/>
              </w:rPr>
            </w:pPr>
            <w:r w:rsidRPr="00D04DA2">
              <w:rPr>
                <w:rFonts w:cstheme="minorHAnsi"/>
                <w:sz w:val="20"/>
                <w:szCs w:val="20"/>
              </w:rPr>
              <w:t>T</w:t>
            </w:r>
            <w:r w:rsidRPr="00D04DA2">
              <w:rPr>
                <w:rFonts w:cstheme="minorHAnsi"/>
                <w:sz w:val="20"/>
                <w:szCs w:val="20"/>
                <w:shd w:val="clear" w:color="auto" w:fill="FFF2CC" w:themeFill="accent4" w:themeFillTint="33"/>
              </w:rPr>
              <w:t>ax policy risk</w:t>
            </w:r>
            <w:r w:rsidR="717AA966" w:rsidRPr="00D04DA2">
              <w:rPr>
                <w:rFonts w:cstheme="minorHAnsi"/>
                <w:sz w:val="20"/>
                <w:szCs w:val="20"/>
                <w:shd w:val="clear" w:color="auto" w:fill="FFF2CC" w:themeFill="accent4" w:themeFillTint="33"/>
              </w:rPr>
              <w:t xml:space="preserve"> measure</w:t>
            </w:r>
            <w:r w:rsidR="00FE10A4">
              <w:rPr>
                <w:rFonts w:cstheme="minorHAnsi"/>
                <w:sz w:val="20"/>
                <w:szCs w:val="20"/>
                <w:shd w:val="clear" w:color="auto" w:fill="FFF2CC" w:themeFill="accent4" w:themeFillTint="33"/>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A02A7B" w14:textId="7C14DADE" w:rsidR="00E5474F" w:rsidRPr="00D04DA2" w:rsidRDefault="00E5474F" w:rsidP="00D04DA2">
            <w:pPr>
              <w:spacing w:after="0" w:line="240" w:lineRule="auto"/>
              <w:contextualSpacing/>
              <w:rPr>
                <w:rFonts w:eastAsiaTheme="minorHAnsi" w:cstheme="minorHAnsi"/>
                <w:color w:val="000000"/>
                <w:sz w:val="20"/>
                <w:szCs w:val="20"/>
              </w:rPr>
            </w:pPr>
            <w:r w:rsidRPr="00D04DA2">
              <w:rPr>
                <w:rFonts w:cstheme="minorHAnsi"/>
                <w:color w:val="000000"/>
                <w:sz w:val="20"/>
                <w:szCs w:val="20"/>
              </w:rPr>
              <w:t xml:space="preserve">Scale of 0-100 </w:t>
            </w:r>
            <w:r w:rsidR="00A21E4D" w:rsidRPr="00D04DA2">
              <w:rPr>
                <w:rFonts w:cstheme="minorHAnsi"/>
                <w:color w:val="000000"/>
                <w:sz w:val="20"/>
                <w:szCs w:val="20"/>
              </w:rPr>
              <w:t>(</w:t>
            </w:r>
            <w:r w:rsidR="004B23E8" w:rsidRPr="00D04DA2">
              <w:rPr>
                <w:rFonts w:cstheme="minorHAnsi"/>
                <w:color w:val="000000"/>
                <w:sz w:val="20"/>
                <w:szCs w:val="20"/>
              </w:rPr>
              <w:t xml:space="preserve">where </w:t>
            </w:r>
            <w:r w:rsidRPr="00D04DA2">
              <w:rPr>
                <w:rFonts w:cstheme="minorHAnsi"/>
                <w:color w:val="000000"/>
                <w:sz w:val="20"/>
                <w:szCs w:val="20"/>
              </w:rPr>
              <w:t xml:space="preserve">0 </w:t>
            </w:r>
            <w:r w:rsidR="004B23E8" w:rsidRPr="00D04DA2">
              <w:rPr>
                <w:rFonts w:cstheme="minorHAnsi"/>
                <w:color w:val="000000"/>
                <w:sz w:val="20"/>
                <w:szCs w:val="20"/>
              </w:rPr>
              <w:t>indicates</w:t>
            </w:r>
            <w:r w:rsidRPr="00D04DA2">
              <w:rPr>
                <w:rFonts w:cstheme="minorHAnsi"/>
                <w:color w:val="000000"/>
                <w:sz w:val="20"/>
                <w:szCs w:val="20"/>
              </w:rPr>
              <w:t xml:space="preserve"> no risk</w:t>
            </w:r>
            <w:r w:rsidR="00A21E4D" w:rsidRPr="00D04DA2">
              <w:rPr>
                <w:rFonts w:cstheme="minorHAnsi"/>
                <w:color w:val="000000"/>
                <w:sz w:val="20"/>
                <w:szCs w:val="20"/>
              </w:rPr>
              <w:t>;</w:t>
            </w:r>
            <w:r w:rsidRPr="00D04DA2">
              <w:rPr>
                <w:rFonts w:cstheme="minorHAnsi"/>
                <w:color w:val="000000"/>
                <w:sz w:val="20"/>
                <w:szCs w:val="20"/>
              </w:rPr>
              <w:t xml:space="preserve"> 100 </w:t>
            </w:r>
            <w:r w:rsidR="004B23E8" w:rsidRPr="00D04DA2">
              <w:rPr>
                <w:rFonts w:cstheme="minorHAnsi"/>
                <w:color w:val="000000"/>
                <w:sz w:val="20"/>
                <w:szCs w:val="20"/>
              </w:rPr>
              <w:t>indicate</w:t>
            </w:r>
            <w:r w:rsidR="00881A4C" w:rsidRPr="00D04DA2">
              <w:rPr>
                <w:rFonts w:cstheme="minorHAnsi"/>
                <w:color w:val="000000"/>
                <w:sz w:val="20"/>
                <w:szCs w:val="20"/>
              </w:rPr>
              <w:t>s</w:t>
            </w:r>
            <w:r w:rsidRPr="00D04DA2">
              <w:rPr>
                <w:rFonts w:cstheme="minorHAnsi"/>
                <w:color w:val="000000"/>
                <w:sz w:val="20"/>
                <w:szCs w:val="20"/>
              </w:rPr>
              <w:t xml:space="preserve"> extremely high risk</w:t>
            </w:r>
            <w:r w:rsidR="00A21E4D"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8A61C4" w14:textId="77777777" w:rsidR="00E5474F" w:rsidRPr="00D04DA2" w:rsidRDefault="00E5474F" w:rsidP="00D04DA2">
            <w:pPr>
              <w:spacing w:after="0" w:line="240" w:lineRule="auto"/>
              <w:contextualSpacing/>
              <w:rPr>
                <w:rFonts w:eastAsiaTheme="minorHAnsi" w:cstheme="minorHAnsi"/>
                <w:color w:val="000000"/>
                <w:sz w:val="20"/>
                <w:szCs w:val="20"/>
              </w:rPr>
            </w:pPr>
            <w:r w:rsidRPr="00D04DA2">
              <w:rPr>
                <w:rFonts w:cstheme="minorHAnsi"/>
                <w:color w:val="000000"/>
                <w:sz w:val="20"/>
                <w:szCs w:val="20"/>
              </w:rPr>
              <w:t>The Economist Intelligence Unit (EIU)</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4AD565B3" w14:textId="6A02625B" w:rsidR="00E5474F" w:rsidRPr="00D04DA2" w:rsidRDefault="00E5474F" w:rsidP="00D04DA2">
            <w:pPr>
              <w:spacing w:after="0" w:line="240" w:lineRule="auto"/>
              <w:contextualSpacing/>
              <w:rPr>
                <w:rFonts w:eastAsiaTheme="minorHAnsi" w:cstheme="minorHAnsi"/>
                <w:color w:val="000000"/>
                <w:sz w:val="20"/>
                <w:szCs w:val="20"/>
              </w:rPr>
            </w:pPr>
            <w:r w:rsidRPr="00D04DA2">
              <w:rPr>
                <w:rFonts w:eastAsiaTheme="minorHAnsi" w:cstheme="minorHAnsi"/>
                <w:color w:val="000000"/>
                <w:sz w:val="20"/>
                <w:szCs w:val="20"/>
              </w:rPr>
              <w:t>Commercial business information provider</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B55E2" w14:textId="56088212" w:rsidR="00E5474F" w:rsidRPr="00D04DA2" w:rsidRDefault="00D479A5" w:rsidP="00D04DA2">
            <w:pPr>
              <w:spacing w:after="0" w:line="240" w:lineRule="auto"/>
              <w:contextualSpacing/>
              <w:rPr>
                <w:rFonts w:eastAsiaTheme="minorHAnsi" w:cstheme="minorHAnsi"/>
                <w:color w:val="000000"/>
                <w:sz w:val="20"/>
                <w:szCs w:val="20"/>
              </w:rPr>
            </w:pPr>
            <w:r w:rsidRPr="00D04DA2">
              <w:rPr>
                <w:rFonts w:cstheme="minorHAnsi"/>
                <w:color w:val="000000"/>
                <w:sz w:val="20"/>
                <w:szCs w:val="20"/>
              </w:rPr>
              <w:t>The m</w:t>
            </w:r>
            <w:r w:rsidR="00E5474F" w:rsidRPr="00D04DA2">
              <w:rPr>
                <w:rFonts w:cstheme="minorHAnsi"/>
                <w:color w:val="000000"/>
                <w:sz w:val="20"/>
                <w:szCs w:val="20"/>
              </w:rPr>
              <w:t xml:space="preserve">easure </w:t>
            </w:r>
            <w:r w:rsidR="00C2694A" w:rsidRPr="00D04DA2">
              <w:rPr>
                <w:rFonts w:cstheme="minorHAnsi"/>
                <w:color w:val="000000"/>
                <w:sz w:val="20"/>
                <w:szCs w:val="20"/>
              </w:rPr>
              <w:t>evaluates</w:t>
            </w:r>
            <w:r w:rsidR="00E5474F" w:rsidRPr="00D04DA2">
              <w:rPr>
                <w:rFonts w:cstheme="minorHAnsi"/>
                <w:color w:val="000000"/>
                <w:sz w:val="20"/>
                <w:szCs w:val="20"/>
              </w:rPr>
              <w:t xml:space="preserve"> whether taxes are low, predictable</w:t>
            </w:r>
            <w:r w:rsidRPr="00D04DA2">
              <w:rPr>
                <w:rFonts w:cstheme="minorHAnsi"/>
                <w:color w:val="000000"/>
                <w:sz w:val="20"/>
                <w:szCs w:val="20"/>
              </w:rPr>
              <w:t>,</w:t>
            </w:r>
            <w:r w:rsidR="00E5474F" w:rsidRPr="00D04DA2">
              <w:rPr>
                <w:rFonts w:cstheme="minorHAnsi"/>
                <w:color w:val="000000"/>
                <w:sz w:val="20"/>
                <w:szCs w:val="20"/>
              </w:rPr>
              <w:t xml:space="preserve"> and transparent, focusing on the following issues: Is the tax regime clear and predictable? What is the risk that corporations will face discriminatory taxes? Is the corporate tax rate low (or is the prevailing rate of corporate tax actually paid low)? What is the risk from retroactive taxation?</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6458D6" w14:textId="42DC7E5B" w:rsidR="00E5474F" w:rsidRPr="00D04DA2" w:rsidRDefault="38A268E8"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Policy </w:t>
            </w:r>
            <w:r w:rsidR="001E748A" w:rsidRPr="00D04DA2">
              <w:rPr>
                <w:rFonts w:cstheme="minorHAnsi"/>
                <w:color w:val="000000" w:themeColor="text1"/>
                <w:sz w:val="20"/>
                <w:szCs w:val="20"/>
              </w:rPr>
              <w:t>m</w:t>
            </w:r>
            <w:r w:rsidRPr="00D04DA2">
              <w:rPr>
                <w:rFonts w:cstheme="minorHAnsi"/>
                <w:color w:val="000000" w:themeColor="text1"/>
                <w:sz w:val="20"/>
                <w:szCs w:val="20"/>
              </w:rPr>
              <w:t>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0ABD23" w14:textId="61E1CC38"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0688E8" w14:textId="73A0B378" w:rsidR="00E5474F" w:rsidRPr="00D04DA2" w:rsidRDefault="00E5474F" w:rsidP="00D04DA2">
            <w:pPr>
              <w:spacing w:after="0" w:line="240" w:lineRule="auto"/>
              <w:contextualSpacing/>
              <w:rPr>
                <w:rFonts w:eastAsia="Calibri"/>
                <w:color w:val="000000" w:themeColor="text1"/>
                <w:sz w:val="20"/>
                <w:szCs w:val="20"/>
              </w:rPr>
            </w:pPr>
            <w:r w:rsidRPr="3E08904B">
              <w:rPr>
                <w:color w:val="000000" w:themeColor="text1"/>
                <w:sz w:val="20"/>
                <w:szCs w:val="20"/>
              </w:rPr>
              <w:t>1</w:t>
            </w:r>
            <w:r w:rsidR="7904124E" w:rsidRPr="3E08904B">
              <w:rPr>
                <w:color w:val="000000" w:themeColor="text1"/>
                <w:sz w:val="20"/>
                <w:szCs w:val="20"/>
              </w:rPr>
              <w:t>75</w:t>
            </w:r>
            <w:r w:rsidRPr="3BDBE1A0">
              <w:rPr>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7F7B4601" w14:textId="0E75FDBD" w:rsidR="00E5474F" w:rsidRPr="00D04DA2" w:rsidRDefault="4A72D7C9" w:rsidP="00D04DA2">
            <w:pPr>
              <w:spacing w:after="0" w:line="240" w:lineRule="auto"/>
              <w:contextualSpacing/>
              <w:rPr>
                <w:color w:val="000000"/>
                <w:sz w:val="20"/>
                <w:szCs w:val="20"/>
              </w:rPr>
            </w:pPr>
            <w:r w:rsidRPr="3E08904B">
              <w:rPr>
                <w:color w:val="000000" w:themeColor="text1"/>
                <w:sz w:val="20"/>
                <w:szCs w:val="20"/>
              </w:rPr>
              <w:t>24</w:t>
            </w:r>
            <w:r w:rsidR="72B973AF" w:rsidRPr="3E08904B">
              <w:rPr>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375A71" w14:textId="257DDFF7" w:rsidR="00262CDC" w:rsidRPr="00D04DA2" w:rsidRDefault="2936E4E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Annual</w:t>
            </w:r>
            <w:r w:rsidR="00183D8E" w:rsidRPr="00D04DA2">
              <w:rPr>
                <w:rFonts w:cstheme="minorHAnsi"/>
                <w:color w:val="000000" w:themeColor="text1"/>
                <w:sz w:val="20"/>
                <w:szCs w:val="20"/>
              </w:rPr>
              <w:t>.</w:t>
            </w:r>
          </w:p>
          <w:p w14:paraId="6D50CD8C" w14:textId="1FE8406D" w:rsidR="00CE0688" w:rsidRPr="00D04DA2" w:rsidRDefault="00CE0688" w:rsidP="00D04DA2">
            <w:pPr>
              <w:spacing w:after="0" w:line="240" w:lineRule="auto"/>
              <w:contextualSpacing/>
              <w:rPr>
                <w:rFonts w:cstheme="minorHAnsi"/>
                <w:color w:val="000000" w:themeColor="text1"/>
                <w:sz w:val="20"/>
                <w:szCs w:val="20"/>
              </w:rPr>
            </w:pPr>
          </w:p>
          <w:p w14:paraId="6BBF1807" w14:textId="0D1B3B12" w:rsidR="00E5474F" w:rsidRPr="00D04DA2" w:rsidRDefault="2936E4EC"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is published for 2020-2021.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1D09BD08" w14:textId="77777777" w:rsidR="00E5474F" w:rsidRPr="00D04DA2" w:rsidRDefault="00FA1285" w:rsidP="00D04DA2">
            <w:pPr>
              <w:spacing w:after="0" w:line="240" w:lineRule="auto"/>
              <w:contextualSpacing/>
              <w:rPr>
                <w:rFonts w:cstheme="minorHAnsi"/>
                <w:sz w:val="20"/>
                <w:szCs w:val="20"/>
              </w:rPr>
            </w:pPr>
            <w:hyperlink r:id="rId40" w:history="1">
              <w:r w:rsidR="00E5474F" w:rsidRPr="00D04DA2">
                <w:rPr>
                  <w:rStyle w:val="Hyperlink"/>
                  <w:rFonts w:cstheme="minorHAnsi"/>
                  <w:sz w:val="20"/>
                  <w:szCs w:val="20"/>
                </w:rPr>
                <w:t>http://www.eiu.com/landing/risk_analysis</w:t>
              </w:r>
            </w:hyperlink>
          </w:p>
        </w:tc>
      </w:tr>
      <w:tr w:rsidR="00912FA5" w:rsidRPr="00D04DA2" w14:paraId="1F35F9C0"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7FED6F19" w14:textId="6920AF17"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w:t>
            </w:r>
            <w:r w:rsidR="00C93770">
              <w:rPr>
                <w:rFonts w:cstheme="minorHAnsi"/>
                <w:color w:val="000000" w:themeColor="text1"/>
                <w:sz w:val="20"/>
                <w:szCs w:val="20"/>
              </w:rPr>
              <w:t>7</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52CC0672" w14:textId="77777777"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2020B2" w14:textId="77777777" w:rsidR="00E5474F" w:rsidRPr="00D04DA2" w:rsidRDefault="00E5474F" w:rsidP="00D04DA2">
            <w:pPr>
              <w:spacing w:after="0" w:line="240" w:lineRule="auto"/>
              <w:contextualSpacing/>
              <w:rPr>
                <w:rFonts w:cstheme="minorHAnsi"/>
                <w:sz w:val="20"/>
                <w:szCs w:val="20"/>
              </w:rPr>
            </w:pPr>
            <w:r w:rsidRPr="00D04DA2">
              <w:rPr>
                <w:rFonts w:cstheme="minorHAnsi"/>
                <w:color w:val="000000" w:themeColor="text1"/>
                <w:sz w:val="20"/>
                <w:szCs w:val="20"/>
              </w:rPr>
              <w:t>Operating a business</w:t>
            </w:r>
            <w:r w:rsidRPr="00D04DA2" w:rsidDel="008F4AB6">
              <w:rPr>
                <w:rFonts w:eastAsia="Times New Roman" w:cstheme="minorHAnsi"/>
                <w:sz w:val="20"/>
                <w:szCs w:val="20"/>
              </w:rPr>
              <w:t xml:space="preserve"> </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03935257" w14:textId="00AF8BA7"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Top marginal tax rate</w:t>
            </w:r>
            <w:r w:rsidR="00DC28F7" w:rsidRPr="00D04DA2">
              <w:rPr>
                <w:rFonts w:eastAsia="Times New Roman" w:cstheme="minorHAnsi"/>
                <w:sz w:val="20"/>
                <w:szCs w:val="20"/>
              </w:rPr>
              <w:t xml:space="preserve"> </w:t>
            </w:r>
            <w:r w:rsidR="00F2724B">
              <w:rPr>
                <w:rFonts w:eastAsia="Times New Roman" w:cstheme="minorHAnsi"/>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CA88E1" w14:textId="77777777"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Percentage</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F1FF33" w14:textId="4395AC26" w:rsidR="00E5474F" w:rsidRPr="00D04DA2" w:rsidRDefault="5A84AD81" w:rsidP="00D04DA2">
            <w:pPr>
              <w:spacing w:after="0" w:line="240" w:lineRule="auto"/>
              <w:contextualSpacing/>
              <w:rPr>
                <w:rFonts w:cstheme="minorHAnsi"/>
                <w:sz w:val="20"/>
                <w:szCs w:val="20"/>
              </w:rPr>
            </w:pPr>
            <w:r w:rsidRPr="00D04DA2">
              <w:rPr>
                <w:rFonts w:eastAsia="Times New Roman" w:cstheme="minorHAnsi"/>
                <w:sz w:val="20"/>
                <w:szCs w:val="20"/>
              </w:rPr>
              <w:t xml:space="preserve">The </w:t>
            </w:r>
            <w:r w:rsidR="00E5474F" w:rsidRPr="00D04DA2">
              <w:rPr>
                <w:rFonts w:eastAsia="Times New Roman" w:cstheme="minorHAnsi"/>
                <w:sz w:val="20"/>
                <w:szCs w:val="20"/>
              </w:rPr>
              <w:t>Fraser Institute</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2FD80ABD" w14:textId="7884389D" w:rsidR="00E5474F" w:rsidRPr="00D04DA2" w:rsidRDefault="00E5474F" w:rsidP="00D04DA2">
            <w:pPr>
              <w:spacing w:after="0" w:line="240" w:lineRule="auto"/>
              <w:contextualSpacing/>
              <w:rPr>
                <w:rFonts w:eastAsia="Calibri" w:cstheme="minorHAnsi"/>
                <w:sz w:val="20"/>
                <w:szCs w:val="20"/>
              </w:rPr>
            </w:pPr>
            <w:r w:rsidRPr="00D04DA2">
              <w:rPr>
                <w:rFonts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42337D" w14:textId="67F0872C" w:rsidR="00E5474F" w:rsidRPr="00D04DA2" w:rsidDel="00AC5B9B" w:rsidRDefault="00E5474F" w:rsidP="00D04DA2">
            <w:pPr>
              <w:spacing w:after="0" w:line="240" w:lineRule="auto"/>
              <w:contextualSpacing/>
              <w:rPr>
                <w:rFonts w:cstheme="minorHAnsi"/>
                <w:sz w:val="20"/>
                <w:szCs w:val="20"/>
              </w:rPr>
            </w:pPr>
            <w:r w:rsidRPr="00D04DA2">
              <w:rPr>
                <w:rFonts w:eastAsia="Times New Roman" w:cstheme="minorHAnsi"/>
                <w:sz w:val="20"/>
                <w:szCs w:val="20"/>
              </w:rPr>
              <w:t>Economic Freedom of the World uses 42 distinct pieces of data to measure economic freedom</w:t>
            </w:r>
            <w:r w:rsidR="000A27F5" w:rsidRPr="00D04DA2">
              <w:rPr>
                <w:rFonts w:eastAsia="Times New Roman" w:cstheme="minorHAnsi"/>
                <w:sz w:val="20"/>
                <w:szCs w:val="20"/>
              </w:rPr>
              <w:t xml:space="preserve"> in</w:t>
            </w:r>
            <w:r w:rsidRPr="00D04DA2">
              <w:rPr>
                <w:rFonts w:eastAsia="Times New Roman" w:cstheme="minorHAnsi"/>
                <w:sz w:val="20"/>
                <w:szCs w:val="20"/>
              </w:rPr>
              <w:t xml:space="preserve"> 5 main areas: [1] Size of Government; [2] Legal System and Security of Property Rights; [3] Sound Money; [4] Freedom to Trade Internationally; [5] Regulation.</w:t>
            </w:r>
          </w:p>
          <w:p w14:paraId="20BF3B04" w14:textId="4082E9EE" w:rsidR="5CE60A15" w:rsidRPr="00D04DA2" w:rsidRDefault="5CE60A15" w:rsidP="00D04DA2">
            <w:pPr>
              <w:spacing w:after="0" w:line="240" w:lineRule="auto"/>
              <w:contextualSpacing/>
              <w:rPr>
                <w:rFonts w:eastAsia="Times New Roman" w:cstheme="minorHAnsi"/>
                <w:sz w:val="20"/>
                <w:szCs w:val="20"/>
              </w:rPr>
            </w:pPr>
          </w:p>
          <w:p w14:paraId="71D5D750" w14:textId="17D11F60" w:rsidR="00D01958" w:rsidRPr="00D04DA2" w:rsidRDefault="09AFADF2"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The “Top marginal rate” is a sub-component of the component “</w:t>
            </w:r>
            <w:r w:rsidR="000A27F5" w:rsidRPr="00D04DA2">
              <w:rPr>
                <w:rFonts w:eastAsia="Times New Roman" w:cstheme="minorHAnsi"/>
                <w:sz w:val="20"/>
                <w:szCs w:val="20"/>
              </w:rPr>
              <w:t xml:space="preserve">[1] </w:t>
            </w:r>
            <w:r w:rsidRPr="00D04DA2">
              <w:rPr>
                <w:rFonts w:eastAsia="Times New Roman" w:cstheme="minorHAnsi"/>
                <w:sz w:val="20"/>
                <w:szCs w:val="20"/>
              </w:rPr>
              <w:t>Size of Government.”</w:t>
            </w:r>
          </w:p>
          <w:p w14:paraId="1C5B0DD7" w14:textId="6521C083" w:rsidR="1F11BC24" w:rsidRPr="00D04DA2" w:rsidRDefault="1F11BC24" w:rsidP="00D04DA2">
            <w:pPr>
              <w:spacing w:after="0" w:line="240" w:lineRule="auto"/>
              <w:contextualSpacing/>
              <w:rPr>
                <w:rFonts w:eastAsia="Times New Roman" w:cstheme="minorHAnsi"/>
                <w:sz w:val="20"/>
                <w:szCs w:val="20"/>
              </w:rPr>
            </w:pPr>
          </w:p>
          <w:p w14:paraId="4442D92A" w14:textId="01E247E1" w:rsidR="2BA99557" w:rsidRPr="00D04DA2" w:rsidRDefault="2BA99557"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This indicator is composed of two sub-components:</w:t>
            </w:r>
          </w:p>
          <w:p w14:paraId="6C9C5178" w14:textId="77777777" w:rsidR="000A27F5" w:rsidRPr="00D04DA2" w:rsidRDefault="000A27F5" w:rsidP="00D04DA2">
            <w:pPr>
              <w:spacing w:after="0" w:line="240" w:lineRule="auto"/>
              <w:contextualSpacing/>
              <w:rPr>
                <w:rFonts w:eastAsia="Times New Roman" w:cstheme="minorHAnsi"/>
                <w:sz w:val="20"/>
                <w:szCs w:val="20"/>
              </w:rPr>
            </w:pPr>
          </w:p>
          <w:p w14:paraId="22CB23AB" w14:textId="17BCAF40" w:rsidR="2BA99557" w:rsidRPr="00D04DA2" w:rsidRDefault="2A4A7C03" w:rsidP="00D04DA2">
            <w:pPr>
              <w:pStyle w:val="ListParagraph"/>
              <w:numPr>
                <w:ilvl w:val="0"/>
                <w:numId w:val="5"/>
              </w:numPr>
              <w:spacing w:after="0" w:line="240" w:lineRule="auto"/>
              <w:rPr>
                <w:rFonts w:cstheme="minorHAnsi"/>
                <w:color w:val="000000"/>
                <w:sz w:val="20"/>
                <w:szCs w:val="20"/>
              </w:rPr>
            </w:pPr>
            <w:r w:rsidRPr="00D04DA2">
              <w:rPr>
                <w:rFonts w:cstheme="minorHAnsi"/>
                <w:color w:val="000000"/>
                <w:sz w:val="20"/>
                <w:szCs w:val="20"/>
              </w:rPr>
              <w:t>Top marginal income tax rate</w:t>
            </w:r>
            <w:r w:rsidR="006D7B30" w:rsidRPr="00D04DA2">
              <w:rPr>
                <w:rFonts w:cstheme="minorHAnsi"/>
                <w:color w:val="000000"/>
                <w:sz w:val="20"/>
                <w:szCs w:val="20"/>
              </w:rPr>
              <w:t>:</w:t>
            </w:r>
            <w:r w:rsidRPr="00D04DA2">
              <w:rPr>
                <w:rFonts w:cstheme="minorHAnsi"/>
                <w:color w:val="000000"/>
                <w:sz w:val="20"/>
                <w:szCs w:val="20"/>
              </w:rPr>
              <w:t xml:space="preserve"> Countries with higher marginal tax rates that take effect at lower income thresholds received lower ratings based on the matrix below. The income threshold data were converted from local currency to 1982/1984 US dollars (using beginning</w:t>
            </w:r>
            <w:r w:rsidR="000A27F5" w:rsidRPr="00D04DA2">
              <w:rPr>
                <w:rFonts w:cstheme="minorHAnsi"/>
                <w:color w:val="000000"/>
                <w:sz w:val="20"/>
                <w:szCs w:val="20"/>
              </w:rPr>
              <w:t>-</w:t>
            </w:r>
            <w:r w:rsidRPr="00D04DA2">
              <w:rPr>
                <w:rFonts w:cstheme="minorHAnsi"/>
                <w:color w:val="000000"/>
                <w:sz w:val="20"/>
                <w:szCs w:val="20"/>
              </w:rPr>
              <w:t xml:space="preserve">of-year exchange rates and the US Consumer Price Index). These figures include sub-national rates if applicable. </w:t>
            </w:r>
          </w:p>
          <w:p w14:paraId="275A83EE" w14:textId="77777777" w:rsidR="000A27F5" w:rsidRPr="00D04DA2" w:rsidRDefault="000A27F5" w:rsidP="00D04DA2">
            <w:pPr>
              <w:pStyle w:val="ListParagraph"/>
              <w:spacing w:after="0" w:line="240" w:lineRule="auto"/>
              <w:rPr>
                <w:rFonts w:cstheme="minorHAnsi"/>
                <w:color w:val="000000"/>
                <w:sz w:val="20"/>
                <w:szCs w:val="20"/>
              </w:rPr>
            </w:pPr>
          </w:p>
          <w:p w14:paraId="54816CEA" w14:textId="1ACB71AD" w:rsidR="2BA99557" w:rsidRPr="00D04DA2" w:rsidRDefault="2A4A7C03" w:rsidP="00D04DA2">
            <w:pPr>
              <w:pStyle w:val="ListParagraph"/>
              <w:numPr>
                <w:ilvl w:val="0"/>
                <w:numId w:val="5"/>
              </w:numPr>
              <w:spacing w:after="0" w:line="240" w:lineRule="auto"/>
              <w:rPr>
                <w:rFonts w:cstheme="minorHAnsi"/>
                <w:color w:val="000000"/>
                <w:sz w:val="20"/>
                <w:szCs w:val="20"/>
              </w:rPr>
            </w:pPr>
            <w:r w:rsidRPr="00D04DA2">
              <w:rPr>
                <w:rFonts w:cstheme="minorHAnsi"/>
                <w:color w:val="000000"/>
                <w:sz w:val="20"/>
                <w:szCs w:val="20"/>
              </w:rPr>
              <w:t>Top marginal income and payroll tax rates</w:t>
            </w:r>
            <w:r w:rsidR="006D7B30" w:rsidRPr="00D04DA2">
              <w:rPr>
                <w:rFonts w:cstheme="minorHAnsi"/>
                <w:color w:val="000000"/>
                <w:sz w:val="20"/>
                <w:szCs w:val="20"/>
              </w:rPr>
              <w:t>:</w:t>
            </w:r>
            <w:r w:rsidRPr="00D04DA2">
              <w:rPr>
                <w:rFonts w:cstheme="minorHAnsi"/>
                <w:color w:val="000000"/>
                <w:sz w:val="20"/>
                <w:szCs w:val="20"/>
              </w:rPr>
              <w:t xml:space="preserve"> Countries with higher marginal income and payroll (wage) tax rates that take effect at lower income thresholds received lower ratings based on the matrix below. The income threshold data were converted from local currency to 1983 US dollars (using beginning-of-year exchange rates and the US Consumer Price Index). These figures include sub-national rates if applicable. </w:t>
            </w:r>
          </w:p>
          <w:p w14:paraId="050482D7" w14:textId="5D5E7A9F" w:rsidR="2BA99557" w:rsidRPr="00D04DA2" w:rsidRDefault="2BA99557" w:rsidP="00D04DA2">
            <w:pPr>
              <w:spacing w:after="0" w:line="240" w:lineRule="auto"/>
              <w:contextualSpacing/>
              <w:rPr>
                <w:rFonts w:eastAsia="Times New Roman" w:cstheme="minorHAnsi"/>
                <w:sz w:val="20"/>
                <w:szCs w:val="20"/>
              </w:rPr>
            </w:pPr>
          </w:p>
          <w:p w14:paraId="0E20CBE1" w14:textId="69756285" w:rsidR="00E5474F" w:rsidRPr="00D04DA2" w:rsidDel="00AC5B9B" w:rsidRDefault="2A4A7C03" w:rsidP="00D04DA2">
            <w:pPr>
              <w:spacing w:after="0" w:line="240" w:lineRule="auto"/>
              <w:contextualSpacing/>
              <w:rPr>
                <w:rFonts w:eastAsia="Times New Roman" w:cstheme="minorHAnsi"/>
                <w:sz w:val="20"/>
                <w:szCs w:val="20"/>
                <w:shd w:val="clear" w:color="auto" w:fill="FFFFFF"/>
              </w:rPr>
            </w:pPr>
            <w:r w:rsidRPr="00D04DA2">
              <w:rPr>
                <w:rFonts w:eastAsia="Times New Roman" w:cstheme="minorHAnsi"/>
                <w:sz w:val="20"/>
                <w:szCs w:val="20"/>
              </w:rPr>
              <w:t>Sources PricewaterhouseCoopers, Worldwide Tax Summaries Online; PricewaterhouseCoopers, Individual Taxes: A Worldwide Summary (various issues); Ernst &amp; Young, Worldwide Personal Tax and Immigration Guide (various issues); Deloitte International Tax Source, Guide to Fiscal Information: Key Economies in Africa (various issues).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9BB36E" w14:textId="4D856306" w:rsidR="00E5474F" w:rsidRPr="00D04DA2" w:rsidRDefault="006D7B30" w:rsidP="00D04DA2">
            <w:pPr>
              <w:spacing w:after="0" w:line="240" w:lineRule="auto"/>
              <w:contextualSpacing/>
              <w:rPr>
                <w:rFonts w:cstheme="minorHAnsi"/>
                <w:sz w:val="20"/>
                <w:szCs w:val="20"/>
              </w:rPr>
            </w:pPr>
            <w:r w:rsidRPr="00D04DA2">
              <w:rPr>
                <w:rFonts w:cstheme="minorHAnsi"/>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3A3AB3" w14:textId="71F712DE"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EAB534"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165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6E042516" w14:textId="21326588" w:rsidR="00E5474F" w:rsidRPr="00D04DA2" w:rsidRDefault="43D2E35F" w:rsidP="00D04DA2">
            <w:pPr>
              <w:spacing w:after="0" w:line="240" w:lineRule="auto"/>
              <w:contextualSpacing/>
              <w:rPr>
                <w:sz w:val="20"/>
                <w:szCs w:val="20"/>
              </w:rPr>
            </w:pPr>
            <w:r w:rsidRPr="3E08904B">
              <w:rPr>
                <w:sz w:val="20"/>
                <w:szCs w:val="20"/>
              </w:rPr>
              <w:t>23</w:t>
            </w:r>
            <w:r w:rsidR="7827E933" w:rsidRPr="3E08904B">
              <w:rPr>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E4A2D8" w14:textId="77777777" w:rsidR="00197C94" w:rsidRPr="00D04DA2" w:rsidRDefault="2539038D"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Every 5 years</w:t>
            </w:r>
            <w:r w:rsidR="00197C94" w:rsidRPr="00D04DA2">
              <w:rPr>
                <w:rFonts w:eastAsia="Calibri" w:cstheme="minorHAnsi"/>
                <w:color w:val="000000" w:themeColor="text1"/>
                <w:sz w:val="20"/>
                <w:szCs w:val="20"/>
              </w:rPr>
              <w:t>.</w:t>
            </w:r>
          </w:p>
          <w:p w14:paraId="47E19C34" w14:textId="77777777" w:rsidR="00197C94" w:rsidRPr="00D04DA2" w:rsidRDefault="00197C94" w:rsidP="00D04DA2">
            <w:pPr>
              <w:spacing w:after="0" w:line="240" w:lineRule="auto"/>
              <w:contextualSpacing/>
              <w:rPr>
                <w:rFonts w:eastAsia="Calibri" w:cstheme="minorHAnsi"/>
                <w:color w:val="000000" w:themeColor="text1"/>
                <w:sz w:val="20"/>
                <w:szCs w:val="20"/>
              </w:rPr>
            </w:pPr>
          </w:p>
          <w:p w14:paraId="74DAEEAA" w14:textId="165E4B4C" w:rsidR="000A27F5" w:rsidRPr="00D04DA2" w:rsidRDefault="00197C94"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indicator is published for</w:t>
            </w:r>
            <w:r w:rsidR="2539038D" w:rsidRPr="00D04DA2">
              <w:rPr>
                <w:rFonts w:eastAsia="Calibri" w:cstheme="minorHAnsi"/>
                <w:color w:val="000000" w:themeColor="text1"/>
                <w:sz w:val="20"/>
                <w:szCs w:val="20"/>
              </w:rPr>
              <w:t xml:space="preserve"> 1970</w:t>
            </w:r>
            <w:r w:rsidRPr="00D04DA2">
              <w:rPr>
                <w:rFonts w:eastAsia="Calibri" w:cstheme="minorHAnsi"/>
                <w:color w:val="000000" w:themeColor="text1"/>
                <w:sz w:val="20"/>
                <w:szCs w:val="20"/>
              </w:rPr>
              <w:t>-</w:t>
            </w:r>
            <w:r w:rsidR="2539038D" w:rsidRPr="00D04DA2">
              <w:rPr>
                <w:rFonts w:eastAsia="Calibri" w:cstheme="minorHAnsi"/>
                <w:color w:val="000000" w:themeColor="text1"/>
                <w:sz w:val="20"/>
                <w:szCs w:val="20"/>
              </w:rPr>
              <w:t>2000.</w:t>
            </w:r>
          </w:p>
          <w:p w14:paraId="1E4A09BF" w14:textId="77777777" w:rsidR="000A27F5" w:rsidRPr="00D04DA2" w:rsidRDefault="000A27F5" w:rsidP="00D04DA2">
            <w:pPr>
              <w:spacing w:after="0" w:line="240" w:lineRule="auto"/>
              <w:contextualSpacing/>
              <w:rPr>
                <w:rFonts w:eastAsia="Calibri" w:cstheme="minorHAnsi"/>
                <w:color w:val="000000" w:themeColor="text1"/>
                <w:sz w:val="20"/>
                <w:szCs w:val="20"/>
              </w:rPr>
            </w:pPr>
          </w:p>
          <w:p w14:paraId="7E364D00" w14:textId="4748CAD0" w:rsidR="00E5474F" w:rsidRPr="00D04DA2" w:rsidRDefault="2539038D" w:rsidP="00D04DA2">
            <w:pPr>
              <w:spacing w:after="0" w:line="240" w:lineRule="auto"/>
              <w:contextualSpacing/>
              <w:rPr>
                <w:rFonts w:cstheme="minorHAnsi"/>
                <w:sz w:val="20"/>
                <w:szCs w:val="20"/>
              </w:rPr>
            </w:pPr>
            <w:r w:rsidRPr="00D04DA2">
              <w:rPr>
                <w:rFonts w:eastAsia="Calibri" w:cstheme="minorHAnsi"/>
                <w:color w:val="000000" w:themeColor="text1"/>
                <w:sz w:val="20"/>
                <w:szCs w:val="20"/>
              </w:rPr>
              <w:t xml:space="preserve">Annual from 2000 to 2019. </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0434F349" w14:textId="77777777" w:rsidR="00E5474F" w:rsidRPr="00D04DA2" w:rsidRDefault="00FA1285" w:rsidP="00D04DA2">
            <w:pPr>
              <w:spacing w:after="0" w:line="240" w:lineRule="auto"/>
              <w:contextualSpacing/>
              <w:rPr>
                <w:rFonts w:cstheme="minorHAnsi"/>
                <w:sz w:val="20"/>
                <w:szCs w:val="20"/>
                <w:u w:val="single"/>
              </w:rPr>
            </w:pPr>
            <w:hyperlink r:id="rId41">
              <w:r w:rsidR="00E5474F" w:rsidRPr="00D04DA2">
                <w:rPr>
                  <w:rStyle w:val="Hyperlink"/>
                  <w:rFonts w:cstheme="minorHAnsi"/>
                  <w:sz w:val="20"/>
                  <w:szCs w:val="20"/>
                </w:rPr>
                <w:t>https://www.fraserinstitute.org/economic-freedom/approach</w:t>
              </w:r>
            </w:hyperlink>
            <w:r w:rsidR="00E5474F" w:rsidRPr="00D04DA2">
              <w:rPr>
                <w:rFonts w:cstheme="minorHAnsi"/>
                <w:sz w:val="20"/>
                <w:szCs w:val="20"/>
                <w:u w:val="single"/>
              </w:rPr>
              <w:t xml:space="preserve"> </w:t>
            </w:r>
          </w:p>
          <w:p w14:paraId="7E65FBC7" w14:textId="77777777" w:rsidR="00E5474F" w:rsidRPr="00D04DA2" w:rsidRDefault="00E5474F" w:rsidP="00D04DA2">
            <w:pPr>
              <w:spacing w:after="0" w:line="240" w:lineRule="auto"/>
              <w:contextualSpacing/>
              <w:rPr>
                <w:rFonts w:cstheme="minorHAnsi"/>
                <w:sz w:val="20"/>
                <w:szCs w:val="20"/>
                <w:u w:val="single"/>
              </w:rPr>
            </w:pPr>
          </w:p>
          <w:p w14:paraId="2BD1CFE4" w14:textId="5D9AB3B9" w:rsidR="00E5474F" w:rsidRPr="00D04DA2" w:rsidRDefault="00FA1285" w:rsidP="00D04DA2">
            <w:pPr>
              <w:spacing w:after="0" w:line="240" w:lineRule="auto"/>
              <w:contextualSpacing/>
              <w:rPr>
                <w:rFonts w:cstheme="minorHAnsi"/>
                <w:sz w:val="20"/>
                <w:szCs w:val="20"/>
              </w:rPr>
            </w:pPr>
            <w:hyperlink r:id="rId42">
              <w:r w:rsidR="00E5474F" w:rsidRPr="00D04DA2">
                <w:rPr>
                  <w:rStyle w:val="Hyperlink"/>
                  <w:rFonts w:cstheme="minorHAnsi"/>
                  <w:sz w:val="20"/>
                  <w:szCs w:val="20"/>
                </w:rPr>
                <w:t>https://www.fraserinstitute.org/studies/economic-freedom</w:t>
              </w:r>
            </w:hyperlink>
            <w:r w:rsidR="00E5474F" w:rsidRPr="00D04DA2">
              <w:rPr>
                <w:rFonts w:cstheme="minorHAnsi"/>
                <w:sz w:val="20"/>
                <w:szCs w:val="20"/>
                <w:u w:val="single"/>
              </w:rPr>
              <w:t xml:space="preserve"> </w:t>
            </w:r>
          </w:p>
          <w:p w14:paraId="358EA4DA" w14:textId="30C57D3C" w:rsidR="00E5474F" w:rsidRPr="00D04DA2" w:rsidRDefault="00E5474F" w:rsidP="00D04DA2">
            <w:pPr>
              <w:spacing w:after="0" w:line="240" w:lineRule="auto"/>
              <w:contextualSpacing/>
              <w:rPr>
                <w:rFonts w:cstheme="minorHAnsi"/>
                <w:sz w:val="20"/>
                <w:szCs w:val="20"/>
                <w:u w:val="single"/>
              </w:rPr>
            </w:pPr>
          </w:p>
          <w:p w14:paraId="6F349FAC" w14:textId="3439F329" w:rsidR="00E5474F" w:rsidRPr="00D04DA2" w:rsidRDefault="00FA1285" w:rsidP="00D04DA2">
            <w:pPr>
              <w:spacing w:after="0" w:line="240" w:lineRule="auto"/>
              <w:contextualSpacing/>
              <w:rPr>
                <w:rFonts w:cstheme="minorHAnsi"/>
                <w:sz w:val="20"/>
                <w:szCs w:val="20"/>
                <w:u w:val="single"/>
              </w:rPr>
            </w:pPr>
            <w:hyperlink r:id="rId43">
              <w:r w:rsidR="00F83D36" w:rsidRPr="00D04DA2">
                <w:rPr>
                  <w:rStyle w:val="Hyperlink"/>
                  <w:rFonts w:cstheme="minorHAnsi"/>
                  <w:sz w:val="20"/>
                  <w:szCs w:val="20"/>
                </w:rPr>
                <w:t>https://www.fraserinstitute.org/sites/default/files/economic-freedom-of-the-world-2019-appendix.pdf</w:t>
              </w:r>
            </w:hyperlink>
          </w:p>
          <w:p w14:paraId="4C145F9E" w14:textId="3439F329" w:rsidR="00F83D36" w:rsidRPr="00D04DA2" w:rsidRDefault="00F83D36" w:rsidP="00D04DA2">
            <w:pPr>
              <w:spacing w:after="0" w:line="240" w:lineRule="auto"/>
              <w:contextualSpacing/>
              <w:rPr>
                <w:rFonts w:cstheme="minorHAnsi"/>
                <w:sz w:val="20"/>
                <w:szCs w:val="20"/>
                <w:u w:val="single"/>
              </w:rPr>
            </w:pPr>
          </w:p>
          <w:p w14:paraId="2978ED57" w14:textId="4E996E98" w:rsidR="006D7B30" w:rsidRPr="00D04DA2" w:rsidRDefault="006D7B30" w:rsidP="00D04DA2">
            <w:pPr>
              <w:spacing w:after="0" w:line="240" w:lineRule="auto"/>
              <w:contextualSpacing/>
              <w:rPr>
                <w:rFonts w:cstheme="minorHAnsi"/>
                <w:sz w:val="20"/>
                <w:szCs w:val="20"/>
                <w:u w:val="single"/>
              </w:rPr>
            </w:pPr>
          </w:p>
        </w:tc>
      </w:tr>
      <w:tr w:rsidR="00912FA5" w:rsidRPr="00D04DA2" w14:paraId="2C05B1F9"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74BAF7BD" w14:textId="1BF5A6DE" w:rsidR="00E5474F" w:rsidRPr="00D04DA2" w:rsidRDefault="4EA8FF33"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3</w:t>
            </w:r>
            <w:r w:rsidR="00C93770">
              <w:rPr>
                <w:rFonts w:cstheme="minorHAnsi"/>
                <w:color w:val="000000" w:themeColor="text1"/>
                <w:sz w:val="20"/>
                <w:szCs w:val="20"/>
              </w:rPr>
              <w:t>8</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3BF085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AEF29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5C9DDC5B" w14:textId="03DC974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Senior management </w:t>
            </w:r>
            <w:r w:rsidRPr="00D04DA2">
              <w:rPr>
                <w:rFonts w:cstheme="minorHAnsi"/>
                <w:color w:val="000000" w:themeColor="text1"/>
                <w:sz w:val="20"/>
                <w:szCs w:val="20"/>
              </w:rPr>
              <w:lastRenderedPageBreak/>
              <w:t>time spent dealing with the requirements of government regulation</w:t>
            </w:r>
          </w:p>
          <w:p w14:paraId="2F1B63CE" w14:textId="77777777" w:rsidR="00E5474F" w:rsidRPr="00D04DA2" w:rsidRDefault="00E5474F" w:rsidP="00D04DA2">
            <w:pPr>
              <w:spacing w:after="0" w:line="240" w:lineRule="auto"/>
              <w:contextualSpacing/>
              <w:rPr>
                <w:rFonts w:eastAsia="Calibri" w:cstheme="minorHAnsi"/>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D09A05" w14:textId="0DEB8CAA" w:rsidR="00E5474F" w:rsidRPr="00D04DA2" w:rsidRDefault="00E5474F" w:rsidP="00D04DA2">
            <w:pPr>
              <w:spacing w:after="0" w:line="240" w:lineRule="auto"/>
              <w:contextualSpacing/>
              <w:rPr>
                <w:rFonts w:eastAsia="Calibri" w:cstheme="minorHAnsi"/>
                <w:sz w:val="20"/>
                <w:szCs w:val="20"/>
              </w:rPr>
            </w:pPr>
            <w:r w:rsidRPr="00D04DA2">
              <w:rPr>
                <w:rFonts w:cstheme="minorHAnsi"/>
                <w:color w:val="000000" w:themeColor="text1"/>
                <w:sz w:val="20"/>
                <w:szCs w:val="20"/>
              </w:rPr>
              <w:lastRenderedPageBreak/>
              <w:t>Percent</w:t>
            </w:r>
            <w:r w:rsidR="1F43B7F5" w:rsidRPr="00D04DA2">
              <w:rPr>
                <w:rFonts w:cstheme="minorHAnsi"/>
                <w:color w:val="000000" w:themeColor="text1"/>
                <w:sz w:val="20"/>
                <w:szCs w:val="20"/>
              </w:rPr>
              <w:t>age</w:t>
            </w:r>
            <w:r w:rsidRPr="00D04DA2">
              <w:rPr>
                <w:rFonts w:cstheme="minorHAnsi"/>
                <w:color w:val="000000" w:themeColor="text1"/>
                <w:sz w:val="20"/>
                <w:szCs w:val="20"/>
              </w:rPr>
              <w:t xml:space="preserve"> of total </w:t>
            </w:r>
            <w:r w:rsidRPr="00D04DA2">
              <w:rPr>
                <w:rFonts w:cstheme="minorHAnsi"/>
                <w:color w:val="000000" w:themeColor="text1"/>
                <w:sz w:val="20"/>
                <w:szCs w:val="20"/>
              </w:rPr>
              <w:lastRenderedPageBreak/>
              <w:t>senior management's time</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B196E6" w14:textId="0854DBBC"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cstheme="minorHAnsi"/>
                <w:color w:val="000000"/>
                <w:sz w:val="20"/>
                <w:szCs w:val="20"/>
              </w:rPr>
              <w:lastRenderedPageBreak/>
              <w:t xml:space="preserve">World Bank Group - </w:t>
            </w:r>
            <w:r w:rsidRPr="00D04DA2">
              <w:rPr>
                <w:rFonts w:cstheme="minorHAnsi"/>
                <w:color w:val="000000"/>
                <w:sz w:val="20"/>
                <w:szCs w:val="20"/>
              </w:rPr>
              <w:lastRenderedPageBreak/>
              <w:t>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08F6AA4F"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lastRenderedPageBreak/>
              <w:t>Surveys of firms</w:t>
            </w:r>
          </w:p>
          <w:p w14:paraId="79F04760" w14:textId="77777777" w:rsidR="00E5474F" w:rsidRPr="00D04DA2" w:rsidRDefault="00E5474F" w:rsidP="00D04DA2">
            <w:pPr>
              <w:spacing w:after="0" w:line="240" w:lineRule="auto"/>
              <w:contextualSpacing/>
              <w:rPr>
                <w:rFonts w:eastAsia="Helvetica" w:cstheme="minorHAnsi"/>
                <w:color w:val="333333"/>
                <w:sz w:val="20"/>
                <w:szCs w:val="20"/>
              </w:rPr>
            </w:pPr>
          </w:p>
          <w:p w14:paraId="11EF344D" w14:textId="77777777" w:rsidR="00E5474F" w:rsidRPr="00D04DA2" w:rsidRDefault="00E5474F" w:rsidP="00D04DA2">
            <w:pPr>
              <w:spacing w:after="0" w:line="240" w:lineRule="auto"/>
              <w:contextualSpacing/>
              <w:rPr>
                <w:rFonts w:eastAsia="Calibri" w:cstheme="minorHAnsi"/>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A00E40" w14:textId="357FB1E9" w:rsidR="00B67657" w:rsidRPr="00D04DA2" w:rsidRDefault="00315AF3" w:rsidP="00D04DA2">
            <w:pPr>
              <w:spacing w:after="0" w:line="240" w:lineRule="auto"/>
              <w:contextualSpacing/>
              <w:rPr>
                <w:rFonts w:cstheme="minorHAnsi"/>
                <w:color w:val="000000"/>
                <w:sz w:val="20"/>
                <w:szCs w:val="20"/>
              </w:rPr>
            </w:pPr>
            <w:r w:rsidRPr="00D04DA2">
              <w:rPr>
                <w:rFonts w:cstheme="minorHAnsi"/>
                <w:color w:val="000000"/>
                <w:sz w:val="20"/>
                <w:szCs w:val="20"/>
              </w:rPr>
              <w:lastRenderedPageBreak/>
              <w:t xml:space="preserve">Enterprise Surveys cover a range of business environment topics including </w:t>
            </w:r>
            <w:r w:rsidR="00BE0DF6" w:rsidRPr="00D04DA2">
              <w:rPr>
                <w:rFonts w:cstheme="minorHAnsi"/>
                <w:color w:val="000000"/>
                <w:sz w:val="20"/>
                <w:szCs w:val="20"/>
              </w:rPr>
              <w:t>Regulations and Taxes</w:t>
            </w:r>
            <w:r w:rsidRPr="00D04DA2">
              <w:rPr>
                <w:rFonts w:cstheme="minorHAnsi"/>
                <w:color w:val="000000"/>
                <w:sz w:val="20"/>
                <w:szCs w:val="20"/>
              </w:rPr>
              <w:t xml:space="preserve">, which covers the </w:t>
            </w:r>
            <w:r w:rsidR="00B67657" w:rsidRPr="00D04DA2">
              <w:rPr>
                <w:rFonts w:cstheme="minorHAnsi"/>
                <w:color w:val="000000" w:themeColor="text1"/>
                <w:sz w:val="20"/>
                <w:szCs w:val="20"/>
              </w:rPr>
              <w:t xml:space="preserve">senior </w:t>
            </w:r>
            <w:r w:rsidR="00B67657" w:rsidRPr="00D04DA2">
              <w:rPr>
                <w:rFonts w:cstheme="minorHAnsi"/>
                <w:color w:val="000000" w:themeColor="text1"/>
                <w:sz w:val="20"/>
                <w:szCs w:val="20"/>
              </w:rPr>
              <w:lastRenderedPageBreak/>
              <w:t>management time spent dealing with the requirements of government regulation</w:t>
            </w:r>
            <w:r w:rsidR="008F0B1E" w:rsidRPr="00D04DA2">
              <w:rPr>
                <w:rFonts w:cstheme="minorHAnsi"/>
                <w:color w:val="000000" w:themeColor="text1"/>
                <w:sz w:val="20"/>
                <w:szCs w:val="20"/>
              </w:rPr>
              <w:t>.</w:t>
            </w:r>
          </w:p>
          <w:p w14:paraId="20B61C5B" w14:textId="364F6F1D" w:rsidR="00E5474F" w:rsidRPr="00D04DA2" w:rsidRDefault="00E5474F" w:rsidP="00D04DA2">
            <w:pPr>
              <w:spacing w:after="0" w:line="240" w:lineRule="auto"/>
              <w:contextualSpacing/>
              <w:rPr>
                <w:rFonts w:eastAsia="Calibri" w:cstheme="minorHAnsi"/>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5A4BD4" w14:textId="22FB8CD8" w:rsidR="00E5474F" w:rsidRPr="00D04DA2" w:rsidRDefault="1BEE7F23"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6A933F" w14:textId="65AC5589"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9F969A" w14:textId="7711E98B" w:rsidR="00E5474F" w:rsidRPr="00D04DA2" w:rsidRDefault="00E5474F" w:rsidP="00D04DA2">
            <w:pPr>
              <w:spacing w:after="0" w:line="240" w:lineRule="auto"/>
              <w:contextualSpacing/>
              <w:rPr>
                <w:rFonts w:eastAsia="Calibri"/>
                <w:color w:val="000000" w:themeColor="text1"/>
                <w:sz w:val="20"/>
                <w:szCs w:val="20"/>
              </w:rPr>
            </w:pPr>
            <w:r w:rsidRPr="19C9DA8E">
              <w:rPr>
                <w:color w:val="000000" w:themeColor="text1"/>
                <w:sz w:val="20"/>
                <w:szCs w:val="20"/>
              </w:rPr>
              <w:t>14</w:t>
            </w:r>
            <w:r w:rsidR="16255F3A" w:rsidRPr="19C9DA8E">
              <w:rPr>
                <w:color w:val="000000" w:themeColor="text1"/>
                <w:sz w:val="20"/>
                <w:szCs w:val="20"/>
              </w:rPr>
              <w:t>9</w:t>
            </w:r>
            <w:r w:rsidRPr="19C9DA8E">
              <w:rPr>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5DFCF129" w14:textId="2520AA49" w:rsidR="00E5474F" w:rsidRPr="00D04DA2" w:rsidRDefault="1EC1A519" w:rsidP="00D04DA2">
            <w:pPr>
              <w:spacing w:after="0" w:line="240" w:lineRule="auto"/>
              <w:contextualSpacing/>
              <w:rPr>
                <w:rFonts w:eastAsia="Calibri"/>
                <w:color w:val="000000" w:themeColor="text1"/>
                <w:sz w:val="20"/>
                <w:szCs w:val="20"/>
              </w:rPr>
            </w:pPr>
            <w:r w:rsidRPr="2474BE7F">
              <w:rPr>
                <w:rFonts w:eastAsia="Calibri"/>
                <w:color w:val="000000" w:themeColor="text1"/>
                <w:sz w:val="20"/>
                <w:szCs w:val="20"/>
              </w:rPr>
              <w:t>24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EB4DC9"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 xml:space="preserve">The Enterprise Surveys are </w:t>
            </w:r>
            <w:r w:rsidRPr="00D04DA2">
              <w:rPr>
                <w:rFonts w:eastAsia="Calibri" w:cstheme="minorHAnsi"/>
                <w:color w:val="000000" w:themeColor="text1"/>
                <w:sz w:val="20"/>
                <w:szCs w:val="20"/>
              </w:rPr>
              <w:lastRenderedPageBreak/>
              <w:t>conducted in about 17 economies each year. The latest data can refer to 2021 (e.g., for Austria) or 2009 (e.g., Brazil).</w:t>
            </w:r>
          </w:p>
          <w:p w14:paraId="129AD700" w14:textId="77777777" w:rsidR="005E1ADF" w:rsidRPr="00D04DA2" w:rsidRDefault="005E1ADF" w:rsidP="00D04DA2">
            <w:pPr>
              <w:spacing w:after="0" w:line="240" w:lineRule="auto"/>
              <w:contextualSpacing/>
              <w:rPr>
                <w:rFonts w:eastAsia="Calibri" w:cstheme="minorHAnsi"/>
                <w:color w:val="000000" w:themeColor="text1"/>
                <w:sz w:val="20"/>
                <w:szCs w:val="20"/>
              </w:rPr>
            </w:pPr>
          </w:p>
          <w:p w14:paraId="09A1AD7F" w14:textId="5936E10F" w:rsidR="005E1ADF" w:rsidRPr="00D04DA2" w:rsidRDefault="005E1ADF" w:rsidP="00D04DA2">
            <w:pPr>
              <w:spacing w:after="0" w:line="240" w:lineRule="auto"/>
              <w:contextualSpacing/>
              <w:rPr>
                <w:rFonts w:cstheme="minorHAnsi"/>
                <w:color w:val="000000"/>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1A899AD6" w14:textId="77777777" w:rsidR="00E5474F" w:rsidRPr="00D04DA2" w:rsidRDefault="00FA1285" w:rsidP="00D04DA2">
            <w:pPr>
              <w:spacing w:after="0" w:line="240" w:lineRule="auto"/>
              <w:contextualSpacing/>
              <w:rPr>
                <w:rFonts w:cstheme="minorHAnsi"/>
                <w:sz w:val="20"/>
                <w:szCs w:val="20"/>
              </w:rPr>
            </w:pPr>
            <w:hyperlink r:id="rId44" w:history="1">
              <w:r w:rsidR="00E5474F" w:rsidRPr="00D04DA2">
                <w:rPr>
                  <w:rStyle w:val="Hyperlink"/>
                  <w:rFonts w:cstheme="minorHAnsi"/>
                  <w:sz w:val="20"/>
                  <w:szCs w:val="20"/>
                </w:rPr>
                <w:t>https://www.enterprisesurveys.or</w:t>
              </w:r>
              <w:r w:rsidR="00E5474F" w:rsidRPr="00D04DA2">
                <w:rPr>
                  <w:rStyle w:val="Hyperlink"/>
                  <w:rFonts w:cstheme="minorHAnsi"/>
                  <w:sz w:val="20"/>
                  <w:szCs w:val="20"/>
                </w:rPr>
                <w:lastRenderedPageBreak/>
                <w:t>g/en/data/exploretopics/regulations-and-taxes</w:t>
              </w:r>
            </w:hyperlink>
          </w:p>
        </w:tc>
      </w:tr>
      <w:tr w:rsidR="00912FA5" w:rsidRPr="00D04DA2" w14:paraId="3CB3C493"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71897A11" w14:textId="44952A8F" w:rsidR="00E5474F" w:rsidRPr="00D04DA2" w:rsidRDefault="00C93770" w:rsidP="00D04DA2">
            <w:pPr>
              <w:spacing w:after="0" w:line="240" w:lineRule="auto"/>
              <w:contextualSpacing/>
              <w:rPr>
                <w:rFonts w:cstheme="minorHAnsi"/>
                <w:color w:val="000000"/>
                <w:sz w:val="20"/>
                <w:szCs w:val="20"/>
              </w:rPr>
            </w:pPr>
            <w:r>
              <w:rPr>
                <w:rFonts w:cstheme="minorHAnsi"/>
                <w:color w:val="000000" w:themeColor="text1"/>
                <w:sz w:val="20"/>
                <w:szCs w:val="20"/>
              </w:rPr>
              <w:lastRenderedPageBreak/>
              <w:t>39</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21CCB7F"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B7A193"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50BE6775" w14:textId="5CF6546B"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Percent of firms visited or required to meet with tax officials</w:t>
            </w:r>
          </w:p>
          <w:p w14:paraId="3393D24A" w14:textId="77777777" w:rsidR="00E5474F" w:rsidRPr="00D04DA2" w:rsidRDefault="00E5474F" w:rsidP="00D04DA2">
            <w:pPr>
              <w:pStyle w:val="ListParagraph"/>
              <w:spacing w:after="0" w:line="240" w:lineRule="auto"/>
              <w:ind w:left="360"/>
              <w:rPr>
                <w:rFonts w:cstheme="minorHAnsi"/>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F7321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Percentage of firms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4A0BC0" w14:textId="27B4280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3C2AEF4D" w14:textId="43E0E4DA"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107291" w14:textId="037810CD" w:rsidR="008F0B1E" w:rsidRPr="00D04DA2" w:rsidRDefault="008F0B1E"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Enterprise Surveys cover a range of business environment topics including Regulations and Taxes, which covers the percentage of firms visited or required to meet with tax officials</w:t>
            </w:r>
            <w:r w:rsidR="007048CE" w:rsidRPr="00D04DA2">
              <w:rPr>
                <w:rFonts w:cstheme="minorHAnsi"/>
                <w:color w:val="000000" w:themeColor="text1"/>
                <w:sz w:val="20"/>
                <w:szCs w:val="20"/>
              </w:rPr>
              <w:t>.</w:t>
            </w:r>
          </w:p>
          <w:p w14:paraId="562B2009" w14:textId="4909E2E5" w:rsidR="00E5474F" w:rsidRPr="00D04DA2" w:rsidRDefault="00E5474F" w:rsidP="00D04DA2">
            <w:pPr>
              <w:spacing w:after="0" w:line="240" w:lineRule="auto"/>
              <w:contextualSpacing/>
              <w:rPr>
                <w:rFonts w:cstheme="minorHAnsi"/>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98EE71" w14:textId="1A669895" w:rsidR="00E5474F" w:rsidRPr="00D04DA2" w:rsidRDefault="009F6971"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Policy metrics</w:t>
            </w:r>
            <w:r w:rsidR="003579DA"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78D030" w14:textId="4338F196"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D78FE3" w14:textId="05396985" w:rsidR="00E5474F" w:rsidRPr="00D04DA2" w:rsidRDefault="00E5474F" w:rsidP="00D04DA2">
            <w:pPr>
              <w:spacing w:after="0" w:line="240" w:lineRule="auto"/>
              <w:contextualSpacing/>
              <w:rPr>
                <w:color w:val="000000"/>
                <w:sz w:val="20"/>
                <w:szCs w:val="20"/>
              </w:rPr>
            </w:pPr>
            <w:r w:rsidRPr="03E0356D">
              <w:rPr>
                <w:color w:val="000000" w:themeColor="text1"/>
                <w:sz w:val="20"/>
                <w:szCs w:val="20"/>
              </w:rPr>
              <w:t>14</w:t>
            </w:r>
            <w:r w:rsidR="5C271E5C" w:rsidRPr="03E0356D">
              <w:rPr>
                <w:color w:val="000000" w:themeColor="text1"/>
                <w:sz w:val="20"/>
                <w:szCs w:val="20"/>
              </w:rPr>
              <w:t>9</w:t>
            </w:r>
            <w:r w:rsidRPr="03E0356D">
              <w:rPr>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7F41E352" w14:textId="62D298FD" w:rsidR="00E5474F" w:rsidRPr="00D04DA2" w:rsidRDefault="2088715D" w:rsidP="00D04DA2">
            <w:pPr>
              <w:spacing w:after="0" w:line="240" w:lineRule="auto"/>
              <w:contextualSpacing/>
              <w:rPr>
                <w:rFonts w:eastAsia="Calibri"/>
                <w:color w:val="000000" w:themeColor="text1"/>
                <w:sz w:val="20"/>
                <w:szCs w:val="20"/>
              </w:rPr>
            </w:pPr>
            <w:r w:rsidRPr="03E0356D">
              <w:rPr>
                <w:rFonts w:eastAsia="Calibri"/>
                <w:color w:val="000000" w:themeColor="text1"/>
                <w:sz w:val="20"/>
                <w:szCs w:val="20"/>
              </w:rPr>
              <w:t>24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B9184B"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Enterprise Surveys are conducted in about 17 economies each year. The latest data can refer to 2021 (e.g., for Austria) or 2009 (e.g., Brazil).</w:t>
            </w:r>
          </w:p>
          <w:p w14:paraId="2C916453" w14:textId="77777777" w:rsidR="005E1ADF" w:rsidRPr="00D04DA2" w:rsidRDefault="005E1ADF" w:rsidP="00D04DA2">
            <w:pPr>
              <w:spacing w:after="0" w:line="240" w:lineRule="auto"/>
              <w:contextualSpacing/>
              <w:rPr>
                <w:rFonts w:eastAsia="Calibri" w:cstheme="minorHAnsi"/>
                <w:color w:val="000000" w:themeColor="text1"/>
                <w:sz w:val="20"/>
                <w:szCs w:val="20"/>
              </w:rPr>
            </w:pPr>
          </w:p>
          <w:p w14:paraId="17EB033E" w14:textId="60C283EA" w:rsidR="005E1ADF" w:rsidRPr="00D04DA2" w:rsidRDefault="005E1ADF" w:rsidP="00D04DA2">
            <w:pPr>
              <w:spacing w:after="0" w:line="240" w:lineRule="auto"/>
              <w:contextualSpacing/>
              <w:rPr>
                <w:rFonts w:cstheme="minorHAnsi"/>
                <w:color w:val="000000"/>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2DE81D2B" w14:textId="77777777" w:rsidR="00E5474F" w:rsidRPr="00D04DA2" w:rsidRDefault="00FA1285" w:rsidP="00D04DA2">
            <w:pPr>
              <w:spacing w:after="0" w:line="240" w:lineRule="auto"/>
              <w:contextualSpacing/>
              <w:rPr>
                <w:rFonts w:cstheme="minorHAnsi"/>
                <w:sz w:val="20"/>
                <w:szCs w:val="20"/>
              </w:rPr>
            </w:pPr>
            <w:hyperlink r:id="rId45" w:history="1">
              <w:r w:rsidR="00E5474F" w:rsidRPr="00D04DA2">
                <w:rPr>
                  <w:rStyle w:val="Hyperlink"/>
                  <w:rFonts w:cstheme="minorHAnsi"/>
                  <w:sz w:val="20"/>
                  <w:szCs w:val="20"/>
                </w:rPr>
                <w:t>https://www.enterprisesurveys.org/en/data/exploretopics/regulations-and-taxes</w:t>
              </w:r>
            </w:hyperlink>
          </w:p>
        </w:tc>
      </w:tr>
      <w:tr w:rsidR="00912FA5" w:rsidRPr="00D04DA2" w14:paraId="3E10952C"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57891FF4" w14:textId="5C17FE40"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0</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29BCAB4"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BC26E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662DE2CE" w14:textId="7BA455F9"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If there were visits, average number of visits or required meetings with tax officials</w:t>
            </w:r>
          </w:p>
          <w:p w14:paraId="0962E629" w14:textId="77777777" w:rsidR="00E5474F" w:rsidRPr="00D04DA2" w:rsidRDefault="00E5474F" w:rsidP="00D04DA2">
            <w:pPr>
              <w:pStyle w:val="ListParagraph"/>
              <w:spacing w:after="0" w:line="240" w:lineRule="auto"/>
              <w:ind w:left="360"/>
              <w:rPr>
                <w:rFonts w:cstheme="minorHAnsi"/>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2466E5"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Number of visits/meetings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8C3B47" w14:textId="6EEB6F02"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53CAF5B3"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Surveys of firms</w:t>
            </w:r>
          </w:p>
          <w:p w14:paraId="2C40A4E0" w14:textId="77777777" w:rsidR="00E5474F" w:rsidRPr="00D04DA2" w:rsidRDefault="00E5474F" w:rsidP="00D04DA2">
            <w:pPr>
              <w:spacing w:after="0" w:line="240" w:lineRule="auto"/>
              <w:contextualSpacing/>
              <w:rPr>
                <w:rFonts w:eastAsia="Helvetica" w:cstheme="minorHAnsi"/>
                <w:color w:val="333333"/>
                <w:sz w:val="20"/>
                <w:szCs w:val="20"/>
              </w:rPr>
            </w:pPr>
          </w:p>
          <w:p w14:paraId="4701FED7" w14:textId="77777777" w:rsidR="00E5474F" w:rsidRPr="00D04DA2" w:rsidRDefault="00E5474F" w:rsidP="00D04DA2">
            <w:pPr>
              <w:spacing w:after="0" w:line="240" w:lineRule="auto"/>
              <w:contextualSpacing/>
              <w:rPr>
                <w:rFonts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9A534D" w14:textId="7828A227" w:rsidR="00E5474F" w:rsidRPr="00D04DA2" w:rsidRDefault="007048CE"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Enterprise Surveys cover a range of business environment topics including Regulations and Taxes, which covers </w:t>
            </w:r>
            <w:r w:rsidR="00564A57" w:rsidRPr="00D04DA2">
              <w:rPr>
                <w:rFonts w:cstheme="minorHAnsi"/>
                <w:color w:val="000000"/>
                <w:sz w:val="20"/>
                <w:szCs w:val="20"/>
              </w:rPr>
              <w:t xml:space="preserve">the </w:t>
            </w:r>
            <w:r w:rsidR="00564A57" w:rsidRPr="00D04DA2">
              <w:rPr>
                <w:rFonts w:cstheme="minorHAnsi"/>
                <w:color w:val="000000" w:themeColor="text1"/>
                <w:sz w:val="20"/>
                <w:szCs w:val="20"/>
              </w:rPr>
              <w:t>average number of visits or required meetings with tax officials if there were visits.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271B8E" w14:textId="2DB2B259" w:rsidR="00E5474F" w:rsidRPr="00D04DA2" w:rsidRDefault="66F94EE7"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7A789A" w14:textId="2170BD9E"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719EAA" w14:textId="0691B5B6" w:rsidR="00E5474F" w:rsidRPr="00D04DA2" w:rsidRDefault="00E5474F" w:rsidP="00D04DA2">
            <w:pPr>
              <w:spacing w:after="0" w:line="240" w:lineRule="auto"/>
              <w:contextualSpacing/>
              <w:rPr>
                <w:color w:val="000000"/>
                <w:sz w:val="20"/>
                <w:szCs w:val="20"/>
              </w:rPr>
            </w:pPr>
            <w:r w:rsidRPr="03E0356D">
              <w:rPr>
                <w:color w:val="000000" w:themeColor="text1"/>
                <w:sz w:val="20"/>
                <w:szCs w:val="20"/>
              </w:rPr>
              <w:t>14</w:t>
            </w:r>
            <w:r w:rsidR="045ECD96" w:rsidRPr="03E0356D">
              <w:rPr>
                <w:color w:val="000000" w:themeColor="text1"/>
                <w:sz w:val="20"/>
                <w:szCs w:val="20"/>
              </w:rPr>
              <w:t>9</w:t>
            </w:r>
            <w:r w:rsidRPr="03E0356D">
              <w:rPr>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1311C080" w14:textId="5EEFA4CA" w:rsidR="00E5474F" w:rsidRPr="00D04DA2" w:rsidRDefault="44CBCE33" w:rsidP="00D04DA2">
            <w:pPr>
              <w:spacing w:after="0" w:line="240" w:lineRule="auto"/>
              <w:contextualSpacing/>
              <w:rPr>
                <w:rFonts w:eastAsia="Calibri"/>
                <w:color w:val="000000" w:themeColor="text1"/>
                <w:sz w:val="20"/>
                <w:szCs w:val="20"/>
              </w:rPr>
            </w:pPr>
            <w:r w:rsidRPr="03E0356D">
              <w:rPr>
                <w:rFonts w:eastAsia="Calibri"/>
                <w:color w:val="000000" w:themeColor="text1"/>
                <w:sz w:val="20"/>
                <w:szCs w:val="20"/>
              </w:rPr>
              <w:t>24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E3B8A7"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Enterprise Surveys are conducted in about 17 economies each year. The latest data can refer to 2021 (e.g., for Austria) or 2009 (e.g., Brazil).</w:t>
            </w:r>
          </w:p>
          <w:p w14:paraId="6BF3A072" w14:textId="77777777" w:rsidR="005E1ADF" w:rsidRPr="00D04DA2" w:rsidRDefault="005E1ADF" w:rsidP="00D04DA2">
            <w:pPr>
              <w:spacing w:after="0" w:line="240" w:lineRule="auto"/>
              <w:contextualSpacing/>
              <w:rPr>
                <w:rFonts w:eastAsia="Calibri" w:cstheme="minorHAnsi"/>
                <w:color w:val="000000" w:themeColor="text1"/>
                <w:sz w:val="20"/>
                <w:szCs w:val="20"/>
              </w:rPr>
            </w:pPr>
          </w:p>
          <w:p w14:paraId="16045065" w14:textId="7C5F33BD" w:rsidR="005E1ADF" w:rsidRPr="00D04DA2" w:rsidRDefault="005E1ADF" w:rsidP="00D04DA2">
            <w:pPr>
              <w:spacing w:after="0" w:line="240" w:lineRule="auto"/>
              <w:contextualSpacing/>
              <w:rPr>
                <w:rFonts w:cstheme="minorHAnsi"/>
                <w:color w:val="000000"/>
                <w:sz w:val="20"/>
                <w:szCs w:val="20"/>
              </w:rPr>
            </w:pPr>
            <w:r w:rsidRPr="00D04DA2">
              <w:rPr>
                <w:rFonts w:eastAsia="Calibri" w:cstheme="minorHAnsi"/>
                <w:sz w:val="20"/>
                <w:szCs w:val="20"/>
              </w:rPr>
              <w:t xml:space="preserve">The indicator is published </w:t>
            </w:r>
            <w:r w:rsidRPr="00D04DA2">
              <w:rPr>
                <w:rFonts w:eastAsia="Calibri" w:cstheme="minorHAnsi"/>
                <w:sz w:val="20"/>
                <w:szCs w:val="20"/>
              </w:rPr>
              <w:lastRenderedPageBreak/>
              <w:t>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E8CE3EB" w14:textId="77777777" w:rsidR="00E5474F" w:rsidRPr="00D04DA2" w:rsidRDefault="00FA1285" w:rsidP="00D04DA2">
            <w:pPr>
              <w:spacing w:after="0" w:line="240" w:lineRule="auto"/>
              <w:contextualSpacing/>
              <w:rPr>
                <w:rFonts w:cstheme="minorHAnsi"/>
                <w:sz w:val="20"/>
                <w:szCs w:val="20"/>
              </w:rPr>
            </w:pPr>
            <w:hyperlink r:id="rId46" w:history="1">
              <w:r w:rsidR="00E5474F" w:rsidRPr="00D04DA2">
                <w:rPr>
                  <w:rStyle w:val="Hyperlink"/>
                  <w:rFonts w:cstheme="minorHAnsi"/>
                  <w:sz w:val="20"/>
                  <w:szCs w:val="20"/>
                </w:rPr>
                <w:t>https://www.enterprisesurveys.org/en/data/exploretopics/regulations-and-taxes</w:t>
              </w:r>
            </w:hyperlink>
          </w:p>
        </w:tc>
      </w:tr>
      <w:tr w:rsidR="00912FA5" w:rsidRPr="00D04DA2" w14:paraId="14917FC0"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1D379AEB" w14:textId="53086919"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1</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93EEC5B"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FE47BB"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1F12C7B3" w14:textId="5AD29D3E"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Percent of firms identifying tax rates as a major constraint</w:t>
            </w:r>
          </w:p>
          <w:p w14:paraId="2E83CDC2" w14:textId="77777777" w:rsidR="00E5474F" w:rsidRPr="00D04DA2" w:rsidRDefault="00E5474F" w:rsidP="00D04DA2">
            <w:pPr>
              <w:pStyle w:val="ListParagraph"/>
              <w:spacing w:after="0" w:line="240" w:lineRule="auto"/>
              <w:ind w:left="360"/>
              <w:rPr>
                <w:rFonts w:cstheme="minorHAnsi"/>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795A01"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Percentage of firms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7E999F" w14:textId="59C3D9DC"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4ED870FB"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Surveys of firms</w:t>
            </w:r>
          </w:p>
          <w:p w14:paraId="60732FB6" w14:textId="77777777" w:rsidR="00E5474F" w:rsidRPr="00D04DA2" w:rsidRDefault="00E5474F" w:rsidP="00D04DA2">
            <w:pPr>
              <w:spacing w:after="0" w:line="240" w:lineRule="auto"/>
              <w:contextualSpacing/>
              <w:rPr>
                <w:rFonts w:eastAsia="Helvetica" w:cstheme="minorHAnsi"/>
                <w:color w:val="333333"/>
                <w:sz w:val="20"/>
                <w:szCs w:val="20"/>
              </w:rPr>
            </w:pPr>
          </w:p>
          <w:p w14:paraId="3DFA53DA" w14:textId="77777777" w:rsidR="00E5474F" w:rsidRPr="00D04DA2" w:rsidRDefault="00E5474F" w:rsidP="00D04DA2">
            <w:pPr>
              <w:spacing w:after="0" w:line="240" w:lineRule="auto"/>
              <w:contextualSpacing/>
              <w:rPr>
                <w:rFonts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8E4D14" w14:textId="08733BAF" w:rsidR="00564A57" w:rsidRPr="00D04DA2" w:rsidRDefault="00564A57"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Enterprise Surveys cover a range of business environment topics including Regulations and Taxes, which covers the percentage of firms identifying tax rates as a major constraint.</w:t>
            </w:r>
          </w:p>
          <w:p w14:paraId="476F99E7" w14:textId="2B2FE5D0" w:rsidR="00E5474F" w:rsidRPr="00D04DA2" w:rsidRDefault="00E5474F" w:rsidP="00D04DA2">
            <w:pPr>
              <w:spacing w:after="0" w:line="240" w:lineRule="auto"/>
              <w:contextualSpacing/>
              <w:rPr>
                <w:rFonts w:cstheme="minorHAnsi"/>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FFDD70" w14:textId="149C26A6" w:rsidR="00E5474F" w:rsidRPr="00D04DA2" w:rsidRDefault="00861A2E"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70063E" w14:textId="75A71C91"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AC2B67" w14:textId="1EF4C8E8" w:rsidR="00E5474F" w:rsidRPr="00D04DA2" w:rsidRDefault="00E5474F" w:rsidP="00D04DA2">
            <w:pPr>
              <w:spacing w:after="0" w:line="240" w:lineRule="auto"/>
              <w:contextualSpacing/>
              <w:rPr>
                <w:color w:val="000000"/>
                <w:sz w:val="20"/>
                <w:szCs w:val="20"/>
              </w:rPr>
            </w:pPr>
            <w:r w:rsidRPr="03E0356D">
              <w:rPr>
                <w:color w:val="000000" w:themeColor="text1"/>
                <w:sz w:val="20"/>
                <w:szCs w:val="20"/>
              </w:rPr>
              <w:t>14</w:t>
            </w:r>
            <w:r w:rsidR="3763B6BC" w:rsidRPr="03E0356D">
              <w:rPr>
                <w:color w:val="000000" w:themeColor="text1"/>
                <w:sz w:val="20"/>
                <w:szCs w:val="20"/>
              </w:rPr>
              <w:t>9</w:t>
            </w:r>
            <w:r w:rsidRPr="03E0356D">
              <w:rPr>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0C0EAE3E" w14:textId="14367CF0" w:rsidR="00E5474F" w:rsidRPr="00D04DA2" w:rsidRDefault="223F8492" w:rsidP="00D04DA2">
            <w:pPr>
              <w:spacing w:after="0" w:line="240" w:lineRule="auto"/>
              <w:contextualSpacing/>
              <w:rPr>
                <w:rFonts w:eastAsia="Calibri"/>
                <w:color w:val="000000" w:themeColor="text1"/>
                <w:sz w:val="20"/>
                <w:szCs w:val="20"/>
              </w:rPr>
            </w:pPr>
            <w:r w:rsidRPr="661222F4">
              <w:rPr>
                <w:rFonts w:eastAsia="Calibri"/>
                <w:color w:val="000000" w:themeColor="text1"/>
                <w:sz w:val="20"/>
                <w:szCs w:val="20"/>
              </w:rPr>
              <w:t>24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5DBE8F" w14:textId="2D7EC68B"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Enterprise Surveys are conducted in about 17 economies each year. The latest data can refer to 2021 (e.g., for Austria) or 2009 (e.g., Brazil).</w:t>
            </w:r>
          </w:p>
          <w:p w14:paraId="0F1AFD52" w14:textId="77777777" w:rsidR="00527427" w:rsidRPr="00D04DA2" w:rsidRDefault="00527427" w:rsidP="00D04DA2">
            <w:pPr>
              <w:spacing w:after="0" w:line="240" w:lineRule="auto"/>
              <w:contextualSpacing/>
              <w:rPr>
                <w:rFonts w:eastAsia="Calibri" w:cstheme="minorHAnsi"/>
                <w:color w:val="000000" w:themeColor="text1"/>
                <w:sz w:val="20"/>
                <w:szCs w:val="20"/>
              </w:rPr>
            </w:pPr>
          </w:p>
          <w:p w14:paraId="7A4BC9BF" w14:textId="1974FCBF" w:rsidR="00E5474F" w:rsidRPr="00D04DA2" w:rsidRDefault="00527427" w:rsidP="00D04DA2">
            <w:pPr>
              <w:spacing w:after="0" w:line="240" w:lineRule="auto"/>
              <w:contextualSpacing/>
              <w:rPr>
                <w:rFonts w:cstheme="minorHAnsi"/>
                <w:color w:val="000000"/>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488795FA" w14:textId="77777777" w:rsidR="00E5474F" w:rsidRPr="00D04DA2" w:rsidRDefault="00FA1285" w:rsidP="00D04DA2">
            <w:pPr>
              <w:spacing w:after="0" w:line="240" w:lineRule="auto"/>
              <w:contextualSpacing/>
              <w:rPr>
                <w:rFonts w:cstheme="minorHAnsi"/>
                <w:sz w:val="20"/>
                <w:szCs w:val="20"/>
              </w:rPr>
            </w:pPr>
            <w:hyperlink r:id="rId47" w:history="1">
              <w:r w:rsidR="00E5474F" w:rsidRPr="00D04DA2">
                <w:rPr>
                  <w:rStyle w:val="Hyperlink"/>
                  <w:rFonts w:cstheme="minorHAnsi"/>
                  <w:sz w:val="20"/>
                  <w:szCs w:val="20"/>
                </w:rPr>
                <w:t>https://www.enterprisesurveys.org/en/data/exploretopics/regulations-and-taxes</w:t>
              </w:r>
            </w:hyperlink>
          </w:p>
        </w:tc>
      </w:tr>
      <w:tr w:rsidR="00912FA5" w:rsidRPr="00D04DA2" w14:paraId="2CC5D936"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2CDE99C1" w14:textId="26036B9B" w:rsidR="00E5474F" w:rsidRPr="00D04DA2" w:rsidRDefault="09C3096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2</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2BD5302"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266205"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2F8B420B" w14:textId="1F45A8FA"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Percent of firms identifying tax administration as a major constraint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716CE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Percentage of firms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6A8EC9" w14:textId="22911834"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World Bank Group - Enterprise Surveys</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70F4A4CF"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Surveys of firms</w:t>
            </w:r>
          </w:p>
          <w:p w14:paraId="746399B3" w14:textId="77777777" w:rsidR="00E5474F" w:rsidRPr="00D04DA2" w:rsidRDefault="00E5474F" w:rsidP="00D04DA2">
            <w:pPr>
              <w:spacing w:after="0" w:line="240" w:lineRule="auto"/>
              <w:contextualSpacing/>
              <w:rPr>
                <w:rFonts w:eastAsia="Helvetica" w:cstheme="minorHAnsi"/>
                <w:color w:val="333333"/>
                <w:sz w:val="20"/>
                <w:szCs w:val="20"/>
              </w:rPr>
            </w:pPr>
          </w:p>
          <w:p w14:paraId="2C0C55A6" w14:textId="77777777" w:rsidR="00E5474F" w:rsidRPr="00D04DA2" w:rsidRDefault="00E5474F" w:rsidP="00D04DA2">
            <w:pPr>
              <w:spacing w:after="0" w:line="240" w:lineRule="auto"/>
              <w:contextualSpacing/>
              <w:rPr>
                <w:rFonts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3E9140" w14:textId="217F448E" w:rsidR="00E5474F" w:rsidRPr="00D04DA2" w:rsidRDefault="005E046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Enterprise Surveys cover a range of business environment topics including Regulations and Taxes, which covers the </w:t>
            </w:r>
            <w:r w:rsidRPr="00D04DA2">
              <w:rPr>
                <w:rFonts w:cstheme="minorHAnsi"/>
                <w:color w:val="000000" w:themeColor="text1"/>
                <w:sz w:val="20"/>
                <w:szCs w:val="20"/>
              </w:rPr>
              <w:t>percentage of firms identifying tax administration as a major constraint</w:t>
            </w:r>
            <w:r w:rsidR="004F21A6" w:rsidRPr="00D04DA2">
              <w:rPr>
                <w:rFonts w:cstheme="minorHAnsi"/>
                <w:color w:val="000000" w:themeColor="text1"/>
                <w:sz w:val="20"/>
                <w:szCs w:val="20"/>
              </w:rPr>
              <w:t>.</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E6A31A" w14:textId="0098BC03" w:rsidR="00E5474F" w:rsidRPr="00D04DA2" w:rsidRDefault="00861A2E"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573D30" w14:textId="2BB6765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D31482" w14:textId="2FCC3231" w:rsidR="00E5474F" w:rsidRPr="00D04DA2" w:rsidRDefault="00E5474F" w:rsidP="00D04DA2">
            <w:pPr>
              <w:spacing w:after="0" w:line="240" w:lineRule="auto"/>
              <w:contextualSpacing/>
              <w:rPr>
                <w:color w:val="000000"/>
                <w:sz w:val="20"/>
                <w:szCs w:val="20"/>
              </w:rPr>
            </w:pPr>
            <w:r w:rsidRPr="661222F4">
              <w:rPr>
                <w:color w:val="000000" w:themeColor="text1"/>
                <w:sz w:val="20"/>
                <w:szCs w:val="20"/>
              </w:rPr>
              <w:t>14</w:t>
            </w:r>
            <w:r w:rsidR="034B5E7F" w:rsidRPr="661222F4">
              <w:rPr>
                <w:color w:val="000000" w:themeColor="text1"/>
                <w:sz w:val="20"/>
                <w:szCs w:val="20"/>
              </w:rPr>
              <w:t>9</w:t>
            </w:r>
            <w:r w:rsidRPr="661222F4">
              <w:rPr>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18C26276" w14:textId="4466E6D9" w:rsidR="00E5474F" w:rsidRPr="00D04DA2" w:rsidRDefault="046EE9ED" w:rsidP="00D04DA2">
            <w:pPr>
              <w:spacing w:after="0" w:line="240" w:lineRule="auto"/>
              <w:contextualSpacing/>
              <w:rPr>
                <w:rFonts w:eastAsia="Calibri"/>
                <w:color w:val="000000" w:themeColor="text1"/>
                <w:sz w:val="20"/>
                <w:szCs w:val="20"/>
              </w:rPr>
            </w:pPr>
            <w:r w:rsidRPr="661222F4">
              <w:rPr>
                <w:rFonts w:eastAsia="Calibri"/>
                <w:color w:val="000000" w:themeColor="text1"/>
                <w:sz w:val="20"/>
                <w:szCs w:val="20"/>
              </w:rPr>
              <w:t>24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DDA376"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Enterprise Surveys are conducted in about 17 economies each year. The latest data can refer to 2021 (e.g., for Austria) or 2009 (e.g., Brazil).</w:t>
            </w:r>
          </w:p>
          <w:p w14:paraId="00660AEB" w14:textId="77777777" w:rsidR="00527427" w:rsidRPr="00D04DA2" w:rsidRDefault="00527427" w:rsidP="00D04DA2">
            <w:pPr>
              <w:spacing w:after="0" w:line="240" w:lineRule="auto"/>
              <w:contextualSpacing/>
              <w:rPr>
                <w:rFonts w:eastAsia="Calibri" w:cstheme="minorHAnsi"/>
                <w:color w:val="000000" w:themeColor="text1"/>
                <w:sz w:val="20"/>
                <w:szCs w:val="20"/>
              </w:rPr>
            </w:pPr>
          </w:p>
          <w:p w14:paraId="549AA1FA" w14:textId="226F6C25" w:rsidR="00E5474F" w:rsidRPr="00D04DA2" w:rsidRDefault="00527427" w:rsidP="00D04DA2">
            <w:pPr>
              <w:spacing w:after="0" w:line="240" w:lineRule="auto"/>
              <w:contextualSpacing/>
              <w:rPr>
                <w:rFonts w:cstheme="minorHAnsi"/>
                <w:color w:val="000000"/>
                <w:sz w:val="20"/>
                <w:szCs w:val="20"/>
              </w:rPr>
            </w:pPr>
            <w:r w:rsidRPr="00D04DA2">
              <w:rPr>
                <w:rFonts w:eastAsia="Calibri" w:cstheme="minorHAnsi"/>
                <w:sz w:val="20"/>
                <w:szCs w:val="20"/>
              </w:rPr>
              <w:t>The indicator is published for 2006-2021.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4B44E303" w14:textId="77777777" w:rsidR="00E5474F" w:rsidRPr="00D04DA2" w:rsidRDefault="00FA1285" w:rsidP="00D04DA2">
            <w:pPr>
              <w:spacing w:after="0" w:line="240" w:lineRule="auto"/>
              <w:contextualSpacing/>
              <w:rPr>
                <w:rFonts w:cstheme="minorHAnsi"/>
                <w:sz w:val="20"/>
                <w:szCs w:val="20"/>
              </w:rPr>
            </w:pPr>
            <w:hyperlink r:id="rId48" w:history="1">
              <w:r w:rsidR="00E5474F" w:rsidRPr="00D04DA2">
                <w:rPr>
                  <w:rStyle w:val="Hyperlink"/>
                  <w:rFonts w:cstheme="minorHAnsi"/>
                  <w:sz w:val="20"/>
                  <w:szCs w:val="20"/>
                </w:rPr>
                <w:t>https://www.enterprisesurveys.org/en/data/exploretopics/regulations-and-taxes</w:t>
              </w:r>
            </w:hyperlink>
          </w:p>
        </w:tc>
      </w:tr>
      <w:tr w:rsidR="00912FA5" w:rsidRPr="00D04DA2" w14:paraId="23EA35C8"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4C3ED59D" w14:textId="021C554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3</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2195D834"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941983"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28A3692B" w14:textId="04D344CC"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Extent and effect of taxation on incentives to work</w:t>
            </w:r>
            <w:r w:rsidR="00594A2D" w:rsidRPr="00D04DA2">
              <w:rPr>
                <w:rFonts w:cstheme="minorHAnsi"/>
                <w:sz w:val="20"/>
                <w:szCs w:val="20"/>
              </w:rPr>
              <w:t xml:space="preserve"> (Travel &amp; Tourism Competitiveness Index</w:t>
            </w:r>
            <w:r w:rsidR="00BE67D9" w:rsidRPr="00D04DA2">
              <w:rPr>
                <w:rFonts w:cstheme="minorHAnsi"/>
                <w:sz w:val="20"/>
                <w:szCs w:val="20"/>
              </w:rPr>
              <w:t>, TTCI</w:t>
            </w:r>
            <w:r w:rsidR="00594A2D" w:rsidRPr="00D04DA2">
              <w:rPr>
                <w:rFonts w:cstheme="minorHAnsi"/>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AAD37F" w14:textId="3ED2CB48" w:rsidR="00E5474F" w:rsidRPr="00D04DA2" w:rsidRDefault="009E6005" w:rsidP="00D04DA2">
            <w:pPr>
              <w:spacing w:after="0" w:line="240" w:lineRule="auto"/>
              <w:contextualSpacing/>
              <w:rPr>
                <w:rStyle w:val="CommentReference"/>
                <w:rFonts w:cstheme="minorHAnsi"/>
                <w:sz w:val="20"/>
                <w:szCs w:val="20"/>
              </w:rPr>
            </w:pPr>
            <w:r w:rsidRPr="00D04DA2">
              <w:rPr>
                <w:rFonts w:cstheme="minorHAnsi"/>
                <w:sz w:val="20"/>
                <w:szCs w:val="20"/>
              </w:rPr>
              <w:t xml:space="preserve">Scale </w:t>
            </w:r>
            <w:r w:rsidR="00D011C3" w:rsidRPr="00D04DA2">
              <w:rPr>
                <w:rFonts w:cstheme="minorHAnsi"/>
                <w:sz w:val="20"/>
                <w:szCs w:val="20"/>
              </w:rPr>
              <w:t>of 1-7 (</w:t>
            </w:r>
            <w:r w:rsidR="004F21A6" w:rsidRPr="00D04DA2">
              <w:rPr>
                <w:rFonts w:cstheme="minorHAnsi"/>
                <w:sz w:val="20"/>
                <w:szCs w:val="20"/>
              </w:rPr>
              <w:t xml:space="preserve">where </w:t>
            </w:r>
            <w:r w:rsidR="00D011C3" w:rsidRPr="00D04DA2">
              <w:rPr>
                <w:rFonts w:cstheme="minorHAnsi"/>
                <w:sz w:val="20"/>
                <w:szCs w:val="20"/>
              </w:rPr>
              <w:t>1</w:t>
            </w:r>
            <w:r w:rsidR="00927DB0" w:rsidRPr="00D04DA2">
              <w:rPr>
                <w:rFonts w:cstheme="minorHAnsi"/>
                <w:sz w:val="20"/>
                <w:szCs w:val="20"/>
              </w:rPr>
              <w:t xml:space="preserve"> </w:t>
            </w:r>
            <w:r w:rsidR="00562EE8" w:rsidRPr="00D04DA2">
              <w:rPr>
                <w:rFonts w:cstheme="minorHAnsi"/>
                <w:sz w:val="20"/>
                <w:szCs w:val="20"/>
              </w:rPr>
              <w:t>represents</w:t>
            </w:r>
            <w:r w:rsidR="00927DB0" w:rsidRPr="00D04DA2">
              <w:rPr>
                <w:rFonts w:cstheme="minorHAnsi"/>
                <w:sz w:val="20"/>
                <w:szCs w:val="20"/>
              </w:rPr>
              <w:t xml:space="preserve"> </w:t>
            </w:r>
            <w:r w:rsidR="000F5456" w:rsidRPr="00D04DA2">
              <w:rPr>
                <w:rFonts w:cstheme="minorHAnsi"/>
                <w:sz w:val="20"/>
                <w:szCs w:val="20"/>
              </w:rPr>
              <w:t>significantly</w:t>
            </w:r>
            <w:r w:rsidR="00582470" w:rsidRPr="00D04DA2">
              <w:rPr>
                <w:rFonts w:cstheme="minorHAnsi"/>
                <w:sz w:val="20"/>
                <w:szCs w:val="20"/>
              </w:rPr>
              <w:t xml:space="preserve"> </w:t>
            </w:r>
            <w:r w:rsidR="00421122" w:rsidRPr="00D04DA2">
              <w:rPr>
                <w:rFonts w:cstheme="minorHAnsi"/>
                <w:sz w:val="20"/>
                <w:szCs w:val="20"/>
              </w:rPr>
              <w:t xml:space="preserve">reducing </w:t>
            </w:r>
            <w:r w:rsidR="00584D0A" w:rsidRPr="00D04DA2">
              <w:rPr>
                <w:rFonts w:cstheme="minorHAnsi"/>
                <w:sz w:val="20"/>
                <w:szCs w:val="20"/>
              </w:rPr>
              <w:t xml:space="preserve">the </w:t>
            </w:r>
            <w:r w:rsidR="00DD6226" w:rsidRPr="00D04DA2">
              <w:rPr>
                <w:rFonts w:cstheme="minorHAnsi"/>
                <w:sz w:val="20"/>
                <w:szCs w:val="20"/>
              </w:rPr>
              <w:t>incentive</w:t>
            </w:r>
            <w:r w:rsidR="00DB06B3" w:rsidRPr="00D04DA2">
              <w:rPr>
                <w:rFonts w:cstheme="minorHAnsi"/>
                <w:sz w:val="20"/>
                <w:szCs w:val="20"/>
              </w:rPr>
              <w:t>;</w:t>
            </w:r>
            <w:r w:rsidR="00DD6226" w:rsidRPr="00D04DA2">
              <w:rPr>
                <w:rFonts w:cstheme="minorHAnsi"/>
                <w:sz w:val="20"/>
                <w:szCs w:val="20"/>
              </w:rPr>
              <w:t xml:space="preserve"> 7</w:t>
            </w:r>
            <w:r w:rsidR="00927DB0" w:rsidRPr="00D04DA2">
              <w:rPr>
                <w:rFonts w:cstheme="minorHAnsi"/>
                <w:sz w:val="20"/>
                <w:szCs w:val="20"/>
              </w:rPr>
              <w:t xml:space="preserve"> </w:t>
            </w:r>
            <w:r w:rsidR="00582470" w:rsidRPr="00D04DA2">
              <w:rPr>
                <w:rFonts w:cstheme="minorHAnsi"/>
                <w:sz w:val="20"/>
                <w:szCs w:val="20"/>
              </w:rPr>
              <w:lastRenderedPageBreak/>
              <w:t>represents</w:t>
            </w:r>
            <w:r w:rsidR="00927DB0" w:rsidRPr="00D04DA2">
              <w:rPr>
                <w:rFonts w:cstheme="minorHAnsi"/>
                <w:sz w:val="20"/>
                <w:szCs w:val="20"/>
              </w:rPr>
              <w:t xml:space="preserve"> </w:t>
            </w:r>
            <w:r w:rsidR="009F6C7F" w:rsidRPr="00D04DA2">
              <w:rPr>
                <w:rFonts w:cstheme="minorHAnsi"/>
                <w:sz w:val="20"/>
                <w:szCs w:val="20"/>
              </w:rPr>
              <w:t>not</w:t>
            </w:r>
            <w:r w:rsidR="00DD6226" w:rsidRPr="00D04DA2">
              <w:rPr>
                <w:rFonts w:cstheme="minorHAnsi"/>
                <w:sz w:val="20"/>
                <w:szCs w:val="20"/>
              </w:rPr>
              <w:t xml:space="preserve"> reducing </w:t>
            </w:r>
            <w:r w:rsidR="00584D0A" w:rsidRPr="00D04DA2">
              <w:rPr>
                <w:rFonts w:cstheme="minorHAnsi"/>
                <w:sz w:val="20"/>
                <w:szCs w:val="20"/>
              </w:rPr>
              <w:t xml:space="preserve">the </w:t>
            </w:r>
            <w:r w:rsidR="00DD6226" w:rsidRPr="00D04DA2">
              <w:rPr>
                <w:rFonts w:cstheme="minorHAnsi"/>
                <w:sz w:val="20"/>
                <w:szCs w:val="20"/>
              </w:rPr>
              <w:t xml:space="preserve">incentive </w:t>
            </w:r>
            <w:r w:rsidR="009F6C7F" w:rsidRPr="00D04DA2">
              <w:rPr>
                <w:rFonts w:cstheme="minorHAnsi"/>
                <w:sz w:val="20"/>
                <w:szCs w:val="20"/>
              </w:rPr>
              <w:t>at all</w:t>
            </w:r>
            <w:r w:rsidR="00DD6226" w:rsidRPr="00D04DA2">
              <w:rPr>
                <w:rFonts w:cstheme="minorHAnsi"/>
                <w:sz w:val="20"/>
                <w:szCs w:val="20"/>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80A527" w14:textId="1E9DA133"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lastRenderedPageBreak/>
              <w:t>World Economic Forum</w:t>
            </w:r>
            <w:r w:rsidR="00A43082">
              <w:rPr>
                <w:rFonts w:cstheme="minorHAnsi"/>
                <w:sz w:val="20"/>
                <w:szCs w:val="20"/>
              </w:rPr>
              <w:t xml:space="preserve"> - </w:t>
            </w:r>
            <w:r w:rsidR="00A43082" w:rsidRPr="00A43082">
              <w:rPr>
                <w:rFonts w:cstheme="minorHAnsi"/>
                <w:sz w:val="20"/>
                <w:szCs w:val="20"/>
              </w:rPr>
              <w:t>Travel &amp; Tourism Competitiveness Report</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024C7FDF" w14:textId="0F41B621" w:rsidR="00E5474F" w:rsidRPr="00D04DA2" w:rsidRDefault="00E5474F" w:rsidP="00D04DA2">
            <w:pPr>
              <w:spacing w:after="0" w:line="240" w:lineRule="auto"/>
              <w:contextualSpacing/>
              <w:rPr>
                <w:rFonts w:eastAsia="Helvetica" w:cstheme="minorHAnsi"/>
                <w:sz w:val="20"/>
                <w:szCs w:val="20"/>
              </w:rPr>
            </w:pPr>
            <w:r w:rsidRPr="00D04DA2">
              <w:rPr>
                <w:rFonts w:eastAsia="Times New Roman"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E1CB8C" w14:textId="77777777" w:rsidR="009D144B" w:rsidRPr="00D04DA2" w:rsidRDefault="009D144B" w:rsidP="00D04DA2">
            <w:pPr>
              <w:spacing w:after="0" w:line="240" w:lineRule="auto"/>
              <w:contextualSpacing/>
              <w:rPr>
                <w:rFonts w:cstheme="minorHAnsi"/>
                <w:sz w:val="20"/>
                <w:szCs w:val="20"/>
              </w:rPr>
            </w:pPr>
            <w:r w:rsidRPr="00D04DA2">
              <w:rPr>
                <w:rFonts w:cstheme="minorHAnsi"/>
                <w:sz w:val="20"/>
                <w:szCs w:val="20"/>
              </w:rPr>
              <w:t xml:space="preserve">This indicator </w:t>
            </w:r>
            <w:r w:rsidR="000F5456" w:rsidRPr="00D04DA2">
              <w:rPr>
                <w:rFonts w:cstheme="minorHAnsi"/>
                <w:sz w:val="20"/>
                <w:szCs w:val="20"/>
              </w:rPr>
              <w:t xml:space="preserve">is part of </w:t>
            </w:r>
            <w:r w:rsidR="00BD3E12" w:rsidRPr="00D04DA2">
              <w:rPr>
                <w:rFonts w:cstheme="minorHAnsi"/>
                <w:sz w:val="20"/>
                <w:szCs w:val="20"/>
              </w:rPr>
              <w:t xml:space="preserve">TTCI, and specifically measures </w:t>
            </w:r>
            <w:r w:rsidR="000F5456" w:rsidRPr="00D04DA2">
              <w:rPr>
                <w:rFonts w:cstheme="minorHAnsi"/>
                <w:sz w:val="20"/>
                <w:szCs w:val="20"/>
              </w:rPr>
              <w:t>“In your country, to what extent do taxes reduce the incentive to work?” [1 = significantly reduce the incentive to work; 7 = do not reduce incentive to work at all]</w:t>
            </w:r>
            <w:r w:rsidR="00BD3E12" w:rsidRPr="00D04DA2">
              <w:rPr>
                <w:rFonts w:cstheme="minorHAnsi"/>
                <w:sz w:val="20"/>
                <w:szCs w:val="20"/>
              </w:rPr>
              <w:t xml:space="preserve">. </w:t>
            </w:r>
          </w:p>
          <w:p w14:paraId="6F9BB387" w14:textId="77777777" w:rsidR="00BD3E12" w:rsidRPr="00D04DA2" w:rsidRDefault="00BD3E12" w:rsidP="00D04DA2">
            <w:pPr>
              <w:spacing w:after="0" w:line="240" w:lineRule="auto"/>
              <w:contextualSpacing/>
              <w:rPr>
                <w:rFonts w:cstheme="minorHAnsi"/>
                <w:sz w:val="20"/>
                <w:szCs w:val="20"/>
              </w:rPr>
            </w:pPr>
          </w:p>
          <w:p w14:paraId="4BD2320D" w14:textId="52E75324"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 xml:space="preserve">The TTCI measures “the set of factors and policies that enable the sustainable development of the Travel &amp; Tourism (T&amp;T) sector, which in turn, contributes to the development and competitiveness of a country.” Published biennially, the TTCI benchmarks the T&amp;T competitiveness. It comprises four </w:t>
            </w:r>
            <w:r w:rsidRPr="00D04DA2">
              <w:rPr>
                <w:rFonts w:cstheme="minorHAnsi"/>
                <w:sz w:val="20"/>
                <w:szCs w:val="20"/>
              </w:rPr>
              <w:lastRenderedPageBreak/>
              <w:t>subindexes, 14 pillars, and 90 individual indicators, distributed among the different pillars</w:t>
            </w:r>
            <w:r w:rsidR="009D144B" w:rsidRPr="00D04DA2">
              <w:rPr>
                <w:rFonts w:cstheme="minorHAnsi"/>
                <w:sz w:val="20"/>
                <w:szCs w:val="20"/>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0D10FF" w14:textId="29DBA83C" w:rsidR="00E5474F" w:rsidRPr="00D04DA2" w:rsidRDefault="00DB70A0" w:rsidP="00D04DA2">
            <w:pPr>
              <w:spacing w:after="0" w:line="240" w:lineRule="auto"/>
              <w:contextualSpacing/>
              <w:rPr>
                <w:rFonts w:cstheme="minorHAnsi"/>
                <w:sz w:val="20"/>
                <w:szCs w:val="20"/>
              </w:rPr>
            </w:pPr>
            <w:r w:rsidRPr="00D04DA2">
              <w:rPr>
                <w:rFonts w:cstheme="minorHAnsi"/>
                <w:sz w:val="20"/>
                <w:szCs w:val="20"/>
              </w:rPr>
              <w:lastRenderedPageBreak/>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D704B9" w14:textId="42C3A7E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DD228C" w14:textId="5C73012C"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14</w:t>
            </w:r>
            <w:r w:rsidR="00BC40FB" w:rsidRPr="00D04DA2">
              <w:rPr>
                <w:rFonts w:cstheme="minorHAnsi"/>
                <w:sz w:val="20"/>
                <w:szCs w:val="20"/>
              </w:rPr>
              <w:t>9</w:t>
            </w:r>
            <w:r w:rsidRPr="00D04DA2">
              <w:rPr>
                <w:rFonts w:cstheme="minorHAnsi"/>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051D64C4" w14:textId="020C38ED" w:rsidR="00E5474F" w:rsidRPr="00D04DA2" w:rsidRDefault="5E7E518F" w:rsidP="00D04DA2">
            <w:pPr>
              <w:spacing w:after="0" w:line="240" w:lineRule="auto"/>
              <w:contextualSpacing/>
              <w:rPr>
                <w:sz w:val="20"/>
                <w:szCs w:val="20"/>
              </w:rPr>
            </w:pPr>
            <w:r w:rsidRPr="661222F4">
              <w:rPr>
                <w:sz w:val="20"/>
                <w:szCs w:val="20"/>
              </w:rPr>
              <w:t>16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93411F" w14:textId="537885F2" w:rsidR="00B92C12" w:rsidRPr="00D04DA2" w:rsidRDefault="00490F3F" w:rsidP="00D04DA2">
            <w:pPr>
              <w:spacing w:after="0" w:line="240" w:lineRule="auto"/>
              <w:contextualSpacing/>
              <w:rPr>
                <w:rFonts w:cstheme="minorHAnsi"/>
                <w:sz w:val="20"/>
                <w:szCs w:val="20"/>
              </w:rPr>
            </w:pPr>
            <w:r w:rsidRPr="00D04DA2">
              <w:rPr>
                <w:rFonts w:cstheme="minorHAnsi"/>
                <w:sz w:val="20"/>
                <w:szCs w:val="20"/>
              </w:rPr>
              <w:t xml:space="preserve">Annual. </w:t>
            </w:r>
          </w:p>
          <w:p w14:paraId="312AC4A6" w14:textId="77777777" w:rsidR="00A80996" w:rsidRPr="00D04DA2" w:rsidRDefault="00A80996" w:rsidP="00D04DA2">
            <w:pPr>
              <w:spacing w:after="0" w:line="240" w:lineRule="auto"/>
              <w:contextualSpacing/>
              <w:rPr>
                <w:rFonts w:cstheme="minorHAnsi"/>
                <w:sz w:val="20"/>
                <w:szCs w:val="20"/>
              </w:rPr>
            </w:pPr>
          </w:p>
          <w:p w14:paraId="412F8BFC" w14:textId="7A0DC442" w:rsidR="00A80996" w:rsidRPr="00D04DA2" w:rsidRDefault="00A80996" w:rsidP="00D04DA2">
            <w:pPr>
              <w:spacing w:after="0" w:line="240" w:lineRule="auto"/>
              <w:contextualSpacing/>
              <w:rPr>
                <w:rFonts w:cstheme="minorHAnsi"/>
                <w:sz w:val="20"/>
                <w:szCs w:val="20"/>
              </w:rPr>
            </w:pPr>
            <w:r w:rsidRPr="00D04DA2">
              <w:rPr>
                <w:rFonts w:cstheme="minorHAnsi"/>
                <w:sz w:val="20"/>
                <w:szCs w:val="20"/>
              </w:rPr>
              <w:t>The indicator is published for 20</w:t>
            </w:r>
            <w:r w:rsidR="007264DA" w:rsidRPr="00D04DA2">
              <w:rPr>
                <w:rFonts w:cstheme="minorHAnsi"/>
                <w:sz w:val="20"/>
                <w:szCs w:val="20"/>
              </w:rPr>
              <w:t>13</w:t>
            </w:r>
            <w:r w:rsidRPr="00D04DA2">
              <w:rPr>
                <w:rFonts w:cstheme="minorHAnsi"/>
                <w:sz w:val="20"/>
                <w:szCs w:val="20"/>
              </w:rPr>
              <w:t>-201</w:t>
            </w:r>
            <w:r w:rsidR="007264DA" w:rsidRPr="00D04DA2">
              <w:rPr>
                <w:rFonts w:cstheme="minorHAnsi"/>
                <w:sz w:val="20"/>
                <w:szCs w:val="20"/>
              </w:rPr>
              <w:t>7</w:t>
            </w:r>
            <w:r w:rsidRPr="00D04DA2">
              <w:rPr>
                <w:rFonts w:cstheme="minorHAnsi"/>
                <w:sz w:val="20"/>
                <w:szCs w:val="20"/>
              </w:rPr>
              <w:t xml:space="preserve">. </w:t>
            </w:r>
          </w:p>
          <w:p w14:paraId="46831992" w14:textId="73849AB2" w:rsidR="00E5474F" w:rsidRPr="00D04DA2" w:rsidRDefault="00E5474F" w:rsidP="00D04DA2">
            <w:pPr>
              <w:spacing w:after="0" w:line="240" w:lineRule="auto"/>
              <w:contextualSpacing/>
              <w:rPr>
                <w:rFonts w:cstheme="minorHAnsi"/>
                <w:sz w:val="20"/>
                <w:szCs w:val="20"/>
              </w:rPr>
            </w:pP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2C9D8510" w14:textId="304ACF8F" w:rsidR="0024137D" w:rsidRPr="00D04DA2" w:rsidRDefault="00FA1285" w:rsidP="00D04DA2">
            <w:pPr>
              <w:spacing w:after="0" w:line="240" w:lineRule="auto"/>
              <w:contextualSpacing/>
              <w:rPr>
                <w:rFonts w:cstheme="minorHAnsi"/>
                <w:color w:val="0563C1"/>
                <w:sz w:val="20"/>
                <w:szCs w:val="20"/>
              </w:rPr>
            </w:pPr>
            <w:hyperlink r:id="rId49">
              <w:r w:rsidR="0024137D" w:rsidRPr="00D04DA2">
                <w:rPr>
                  <w:rStyle w:val="Hyperlink"/>
                  <w:rFonts w:cstheme="minorHAnsi"/>
                  <w:sz w:val="20"/>
                  <w:szCs w:val="20"/>
                </w:rPr>
                <w:t>http://www3.weforum.org/docs/WEF_TTCR_2019.pdf</w:t>
              </w:r>
            </w:hyperlink>
            <w:r w:rsidR="0024137D" w:rsidRPr="00D04DA2">
              <w:rPr>
                <w:rFonts w:cstheme="minorHAnsi"/>
                <w:sz w:val="20"/>
                <w:szCs w:val="20"/>
              </w:rPr>
              <w:t xml:space="preserve"> </w:t>
            </w:r>
          </w:p>
          <w:p w14:paraId="694AB93F" w14:textId="77C06D92" w:rsidR="00E5474F" w:rsidRPr="00D04DA2" w:rsidRDefault="00E5474F" w:rsidP="00D04DA2">
            <w:pPr>
              <w:spacing w:after="0" w:line="240" w:lineRule="auto"/>
              <w:contextualSpacing/>
              <w:rPr>
                <w:rFonts w:cstheme="minorHAnsi"/>
                <w:color w:val="0563C1"/>
                <w:sz w:val="20"/>
                <w:szCs w:val="20"/>
              </w:rPr>
            </w:pPr>
          </w:p>
          <w:p w14:paraId="5AC8A228" w14:textId="0F3A5BB7" w:rsidR="006647B8" w:rsidRPr="00D04DA2" w:rsidRDefault="00F02B74"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https://tcdata360.worldbank.org/indicators/tax.work?country=BRA&amp;indicator=639&amp;</w:t>
            </w:r>
            <w:r w:rsidRPr="00D04DA2">
              <w:rPr>
                <w:rFonts w:cstheme="minorHAnsi"/>
                <w:color w:val="0563C1"/>
                <w:sz w:val="20"/>
                <w:szCs w:val="20"/>
                <w:u w:val="single"/>
              </w:rPr>
              <w:lastRenderedPageBreak/>
              <w:t>viz=line_chart&amp;years=2013,2017</w:t>
            </w:r>
          </w:p>
          <w:p w14:paraId="72B1A3EA" w14:textId="28B71F39" w:rsidR="00E5474F" w:rsidRPr="00D04DA2" w:rsidRDefault="00E5474F" w:rsidP="00D04DA2">
            <w:pPr>
              <w:spacing w:after="0" w:line="240" w:lineRule="auto"/>
              <w:contextualSpacing/>
              <w:rPr>
                <w:rFonts w:cstheme="minorHAnsi"/>
                <w:b/>
                <w:bCs/>
                <w:sz w:val="20"/>
                <w:szCs w:val="20"/>
              </w:rPr>
            </w:pPr>
          </w:p>
        </w:tc>
      </w:tr>
      <w:tr w:rsidR="00912FA5" w:rsidRPr="00D04DA2" w14:paraId="34328074"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6B1DF12D" w14:textId="761FD819"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4</w:t>
            </w:r>
            <w:r w:rsidR="00C93770">
              <w:rPr>
                <w:rFonts w:cstheme="minorHAnsi"/>
                <w:color w:val="000000" w:themeColor="text1"/>
                <w:sz w:val="20"/>
                <w:szCs w:val="20"/>
              </w:rPr>
              <w:t>4</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6BA3C09"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9E2CAA" w14:textId="77777777"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0C24584B" w14:textId="70A32BE6"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Extent and effect of taxation on incentives to invest</w:t>
            </w:r>
            <w:r w:rsidR="00326B00" w:rsidRPr="00D04DA2">
              <w:rPr>
                <w:rFonts w:cstheme="minorHAnsi"/>
                <w:sz w:val="20"/>
                <w:szCs w:val="20"/>
              </w:rPr>
              <w:t xml:space="preserve"> (Travel &amp; Tourism Competitiveness Index, TTCI)</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5BE340" w14:textId="76B51380" w:rsidR="00E5474F" w:rsidRPr="00D04DA2" w:rsidRDefault="00EF5648" w:rsidP="00D04DA2">
            <w:pPr>
              <w:spacing w:after="0" w:line="240" w:lineRule="auto"/>
              <w:contextualSpacing/>
              <w:rPr>
                <w:rFonts w:cstheme="minorHAnsi"/>
                <w:sz w:val="20"/>
                <w:szCs w:val="20"/>
              </w:rPr>
            </w:pPr>
            <w:r w:rsidRPr="00D04DA2">
              <w:rPr>
                <w:rFonts w:cstheme="minorHAnsi"/>
                <w:sz w:val="20"/>
                <w:szCs w:val="20"/>
              </w:rPr>
              <w:t>Scale of 1-7 (</w:t>
            </w:r>
            <w:r w:rsidR="007000B7" w:rsidRPr="00D04DA2">
              <w:rPr>
                <w:rFonts w:cstheme="minorHAnsi"/>
                <w:sz w:val="20"/>
                <w:szCs w:val="20"/>
              </w:rPr>
              <w:t xml:space="preserve">where </w:t>
            </w:r>
            <w:r w:rsidRPr="00D04DA2">
              <w:rPr>
                <w:rFonts w:cstheme="minorHAnsi"/>
                <w:sz w:val="20"/>
                <w:szCs w:val="20"/>
              </w:rPr>
              <w:t>1</w:t>
            </w:r>
            <w:r w:rsidR="00140C50" w:rsidRPr="00D04DA2">
              <w:rPr>
                <w:rFonts w:cstheme="minorHAnsi"/>
                <w:sz w:val="20"/>
                <w:szCs w:val="20"/>
              </w:rPr>
              <w:t xml:space="preserve"> </w:t>
            </w:r>
            <w:r w:rsidR="007000B7" w:rsidRPr="00D04DA2">
              <w:rPr>
                <w:rFonts w:cstheme="minorHAnsi"/>
                <w:sz w:val="20"/>
                <w:szCs w:val="20"/>
              </w:rPr>
              <w:t xml:space="preserve">represents </w:t>
            </w:r>
            <w:r w:rsidR="001821C7" w:rsidRPr="00D04DA2">
              <w:rPr>
                <w:rFonts w:cstheme="minorHAnsi"/>
                <w:sz w:val="20"/>
                <w:szCs w:val="20"/>
              </w:rPr>
              <w:t>significantly</w:t>
            </w:r>
            <w:r w:rsidR="007000B7" w:rsidRPr="00D04DA2">
              <w:rPr>
                <w:rFonts w:cstheme="minorHAnsi"/>
                <w:sz w:val="20"/>
                <w:szCs w:val="20"/>
              </w:rPr>
              <w:t xml:space="preserve"> </w:t>
            </w:r>
            <w:r w:rsidRPr="00D04DA2">
              <w:rPr>
                <w:rFonts w:cstheme="minorHAnsi"/>
                <w:sz w:val="20"/>
                <w:szCs w:val="20"/>
              </w:rPr>
              <w:t xml:space="preserve">reducing </w:t>
            </w:r>
            <w:r w:rsidR="007B0A37" w:rsidRPr="00D04DA2">
              <w:rPr>
                <w:rFonts w:cstheme="minorHAnsi"/>
                <w:sz w:val="20"/>
                <w:szCs w:val="20"/>
              </w:rPr>
              <w:t xml:space="preserve">the </w:t>
            </w:r>
            <w:r w:rsidRPr="00D04DA2">
              <w:rPr>
                <w:rFonts w:cstheme="minorHAnsi"/>
                <w:sz w:val="20"/>
                <w:szCs w:val="20"/>
              </w:rPr>
              <w:t>incentive</w:t>
            </w:r>
            <w:r w:rsidR="00DB06B3" w:rsidRPr="00D04DA2">
              <w:rPr>
                <w:rFonts w:cstheme="minorHAnsi"/>
                <w:sz w:val="20"/>
                <w:szCs w:val="20"/>
              </w:rPr>
              <w:t>; 7</w:t>
            </w:r>
            <w:r w:rsidR="00140C50" w:rsidRPr="00D04DA2">
              <w:rPr>
                <w:rFonts w:cstheme="minorHAnsi"/>
                <w:sz w:val="20"/>
                <w:szCs w:val="20"/>
              </w:rPr>
              <w:t xml:space="preserve"> </w:t>
            </w:r>
            <w:r w:rsidR="007000B7" w:rsidRPr="00D04DA2">
              <w:rPr>
                <w:rFonts w:cstheme="minorHAnsi"/>
                <w:sz w:val="20"/>
                <w:szCs w:val="20"/>
              </w:rPr>
              <w:t>represents</w:t>
            </w:r>
            <w:r w:rsidR="00140C50" w:rsidRPr="00D04DA2">
              <w:rPr>
                <w:rFonts w:cstheme="minorHAnsi"/>
                <w:sz w:val="20"/>
                <w:szCs w:val="20"/>
              </w:rPr>
              <w:t xml:space="preserve"> </w:t>
            </w:r>
            <w:r w:rsidR="00DB06B3" w:rsidRPr="00D04DA2">
              <w:rPr>
                <w:rFonts w:cstheme="minorHAnsi"/>
                <w:sz w:val="20"/>
                <w:szCs w:val="20"/>
              </w:rPr>
              <w:t xml:space="preserve">not reducing </w:t>
            </w:r>
            <w:r w:rsidR="008B4830" w:rsidRPr="00D04DA2">
              <w:rPr>
                <w:rFonts w:cstheme="minorHAnsi"/>
                <w:sz w:val="20"/>
                <w:szCs w:val="20"/>
              </w:rPr>
              <w:t xml:space="preserve">the </w:t>
            </w:r>
            <w:r w:rsidR="00DB06B3" w:rsidRPr="00D04DA2">
              <w:rPr>
                <w:rFonts w:cstheme="minorHAnsi"/>
                <w:sz w:val="20"/>
                <w:szCs w:val="20"/>
              </w:rPr>
              <w:t xml:space="preserve">incentive </w:t>
            </w:r>
            <w:r w:rsidR="009F6C7F" w:rsidRPr="00D04DA2">
              <w:rPr>
                <w:rFonts w:cstheme="minorHAnsi"/>
                <w:sz w:val="20"/>
                <w:szCs w:val="20"/>
              </w:rPr>
              <w:t>at all</w:t>
            </w:r>
            <w:r w:rsidR="00DB06B3" w:rsidRPr="00D04DA2">
              <w:rPr>
                <w:rFonts w:cstheme="minorHAnsi"/>
                <w:sz w:val="20"/>
                <w:szCs w:val="20"/>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29FC53" w14:textId="58CF27A6"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World Economic Forum</w:t>
            </w:r>
            <w:r w:rsidR="00A43082">
              <w:t xml:space="preserve"> </w:t>
            </w:r>
            <w:r w:rsidR="00796175">
              <w:t xml:space="preserve">- </w:t>
            </w:r>
            <w:r w:rsidR="00A43082" w:rsidRPr="00A43082">
              <w:rPr>
                <w:rFonts w:cstheme="minorHAnsi"/>
                <w:sz w:val="20"/>
                <w:szCs w:val="20"/>
              </w:rPr>
              <w:t>Travel &amp; Tourism Competitiveness Report</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36C1A91C" w14:textId="66F4D538"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094B46" w14:textId="7A555A14" w:rsidR="001821C7" w:rsidRPr="00D04DA2" w:rsidRDefault="001821C7" w:rsidP="00D04DA2">
            <w:pPr>
              <w:spacing w:after="0" w:line="240" w:lineRule="auto"/>
              <w:contextualSpacing/>
              <w:rPr>
                <w:rFonts w:cstheme="minorHAnsi"/>
                <w:sz w:val="20"/>
                <w:szCs w:val="20"/>
              </w:rPr>
            </w:pPr>
            <w:r w:rsidRPr="00D04DA2">
              <w:rPr>
                <w:rFonts w:cstheme="minorHAnsi"/>
                <w:sz w:val="20"/>
                <w:szCs w:val="20"/>
              </w:rPr>
              <w:t xml:space="preserve">This indicator is part of TTCI, and specifically measures “In your country, to what extent do taxes reduce the incentive to invest?” [1 = significantly reduce the incentive to invest; 7 = do not reduce incentive to invest at all]. </w:t>
            </w:r>
          </w:p>
          <w:p w14:paraId="3D52801A" w14:textId="7A555A14" w:rsidR="001821C7" w:rsidRPr="00D04DA2" w:rsidRDefault="001821C7" w:rsidP="00D04DA2">
            <w:pPr>
              <w:spacing w:after="0" w:line="240" w:lineRule="auto"/>
              <w:contextualSpacing/>
              <w:rPr>
                <w:rFonts w:cstheme="minorHAnsi"/>
                <w:sz w:val="20"/>
                <w:szCs w:val="20"/>
              </w:rPr>
            </w:pPr>
          </w:p>
          <w:p w14:paraId="3E817069" w14:textId="3A8BB809"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The TTCI measures “the set of factors and policies that enable the sustainable development of the Travel &amp; Tourism (T&amp;T) sector, which in turn, contributes to the development and competitiveness of a country.” Published biennially, the TTCI benchmarks the T&amp;T competitiveness. It comprises four subindexes, 14 pillars, and 90 individual indicators, distributed among the different pillars</w:t>
            </w:r>
            <w:r w:rsidR="007264DA" w:rsidRPr="00D04DA2">
              <w:rPr>
                <w:rFonts w:cstheme="minorHAnsi"/>
                <w:sz w:val="20"/>
                <w:szCs w:val="20"/>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625AA1" w14:textId="5F14845C" w:rsidR="00E5474F" w:rsidRPr="00D04DA2" w:rsidRDefault="00DB70A0" w:rsidP="00D04DA2">
            <w:pPr>
              <w:spacing w:after="0" w:line="240" w:lineRule="auto"/>
              <w:contextualSpacing/>
              <w:rPr>
                <w:rFonts w:cstheme="minorHAnsi"/>
                <w:sz w:val="20"/>
                <w:szCs w:val="20"/>
              </w:rPr>
            </w:pPr>
            <w:r w:rsidRPr="00D04DA2">
              <w:rPr>
                <w:rFonts w:cstheme="minorHAnsi"/>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C252CD" w14:textId="4CD63955"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EF301A" w14:textId="154135D4" w:rsidR="00E5474F" w:rsidRPr="00D04DA2" w:rsidRDefault="00E5474F" w:rsidP="00D04DA2">
            <w:pPr>
              <w:spacing w:after="0" w:line="240" w:lineRule="auto"/>
              <w:contextualSpacing/>
              <w:rPr>
                <w:rFonts w:cstheme="minorHAnsi"/>
                <w:sz w:val="20"/>
                <w:szCs w:val="20"/>
              </w:rPr>
            </w:pPr>
            <w:r w:rsidRPr="00D04DA2">
              <w:rPr>
                <w:rFonts w:cstheme="minorHAnsi"/>
                <w:sz w:val="20"/>
                <w:szCs w:val="20"/>
              </w:rPr>
              <w:t>14</w:t>
            </w:r>
            <w:r w:rsidR="00BC40FB" w:rsidRPr="00D04DA2">
              <w:rPr>
                <w:rFonts w:cstheme="minorHAnsi"/>
                <w:sz w:val="20"/>
                <w:szCs w:val="20"/>
              </w:rPr>
              <w:t>9</w:t>
            </w:r>
            <w:r w:rsidRPr="00D04DA2">
              <w:rPr>
                <w:rFonts w:cstheme="minorHAnsi"/>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154BF118" w14:textId="12250B36" w:rsidR="00E5474F" w:rsidRPr="00D04DA2" w:rsidRDefault="65F1FA7C" w:rsidP="00D04DA2">
            <w:pPr>
              <w:spacing w:after="0" w:line="240" w:lineRule="auto"/>
              <w:contextualSpacing/>
              <w:rPr>
                <w:sz w:val="20"/>
                <w:szCs w:val="20"/>
              </w:rPr>
            </w:pPr>
            <w:r w:rsidRPr="661222F4">
              <w:rPr>
                <w:sz w:val="20"/>
                <w:szCs w:val="20"/>
              </w:rPr>
              <w:t>16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4C2B93" w14:textId="61AD644F" w:rsidR="00E5474F" w:rsidRPr="00D04DA2" w:rsidRDefault="00490F3F" w:rsidP="00D04DA2">
            <w:pPr>
              <w:spacing w:after="0" w:line="240" w:lineRule="auto"/>
              <w:contextualSpacing/>
              <w:rPr>
                <w:rFonts w:cstheme="minorHAnsi"/>
                <w:sz w:val="20"/>
                <w:szCs w:val="20"/>
              </w:rPr>
            </w:pPr>
            <w:r w:rsidRPr="00D04DA2">
              <w:rPr>
                <w:rFonts w:cstheme="minorHAnsi"/>
                <w:sz w:val="20"/>
                <w:szCs w:val="20"/>
              </w:rPr>
              <w:t xml:space="preserve">Annual. </w:t>
            </w:r>
          </w:p>
          <w:p w14:paraId="701E495E" w14:textId="77777777" w:rsidR="00A80996" w:rsidRPr="00D04DA2" w:rsidRDefault="00A80996" w:rsidP="00D04DA2">
            <w:pPr>
              <w:spacing w:after="0" w:line="240" w:lineRule="auto"/>
              <w:contextualSpacing/>
              <w:rPr>
                <w:rFonts w:cstheme="minorHAnsi"/>
                <w:sz w:val="20"/>
                <w:szCs w:val="20"/>
              </w:rPr>
            </w:pPr>
          </w:p>
          <w:p w14:paraId="5E154709" w14:textId="1A49823A" w:rsidR="00E5474F" w:rsidRPr="00D04DA2" w:rsidRDefault="00A80996" w:rsidP="00D04DA2">
            <w:pPr>
              <w:spacing w:after="0" w:line="240" w:lineRule="auto"/>
              <w:contextualSpacing/>
              <w:rPr>
                <w:rFonts w:cstheme="minorHAnsi"/>
                <w:sz w:val="20"/>
                <w:szCs w:val="20"/>
              </w:rPr>
            </w:pPr>
            <w:r w:rsidRPr="00D04DA2">
              <w:rPr>
                <w:rFonts w:cstheme="minorHAnsi"/>
                <w:sz w:val="20"/>
                <w:szCs w:val="20"/>
              </w:rPr>
              <w:t>The indicator is published for 20</w:t>
            </w:r>
            <w:r w:rsidR="007264DA" w:rsidRPr="00D04DA2">
              <w:rPr>
                <w:rFonts w:cstheme="minorHAnsi"/>
                <w:sz w:val="20"/>
                <w:szCs w:val="20"/>
              </w:rPr>
              <w:t>13</w:t>
            </w:r>
            <w:r w:rsidRPr="00D04DA2">
              <w:rPr>
                <w:rFonts w:cstheme="minorHAnsi"/>
                <w:sz w:val="20"/>
                <w:szCs w:val="20"/>
              </w:rPr>
              <w:t>-201</w:t>
            </w:r>
            <w:r w:rsidR="007264DA" w:rsidRPr="00D04DA2">
              <w:rPr>
                <w:rFonts w:cstheme="minorHAnsi"/>
                <w:sz w:val="20"/>
                <w:szCs w:val="20"/>
              </w:rPr>
              <w:t>7</w:t>
            </w:r>
            <w:r w:rsidRPr="00D04DA2">
              <w:rPr>
                <w:rFonts w:cstheme="minorHAnsi"/>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71530C31" w14:textId="77777777" w:rsidR="00E5474F" w:rsidRPr="00D04DA2" w:rsidRDefault="00FA1285" w:rsidP="00D04DA2">
            <w:pPr>
              <w:spacing w:after="0" w:line="240" w:lineRule="auto"/>
              <w:contextualSpacing/>
              <w:rPr>
                <w:rStyle w:val="Hyperlink"/>
                <w:rFonts w:cstheme="minorHAnsi"/>
                <w:sz w:val="20"/>
                <w:szCs w:val="20"/>
              </w:rPr>
            </w:pPr>
            <w:hyperlink r:id="rId50" w:history="1">
              <w:r w:rsidR="00E5474F" w:rsidRPr="00D04DA2">
                <w:rPr>
                  <w:rStyle w:val="Hyperlink"/>
                  <w:rFonts w:cstheme="minorHAnsi"/>
                  <w:sz w:val="20"/>
                  <w:szCs w:val="20"/>
                </w:rPr>
                <w:t>http://www3.weforum.org/docs/WEF_TTCR_2019.pdf</w:t>
              </w:r>
            </w:hyperlink>
          </w:p>
          <w:p w14:paraId="09137E7F" w14:textId="77777777" w:rsidR="00851960" w:rsidRPr="00D04DA2" w:rsidRDefault="00851960" w:rsidP="00D04DA2">
            <w:pPr>
              <w:spacing w:after="0" w:line="240" w:lineRule="auto"/>
              <w:contextualSpacing/>
              <w:rPr>
                <w:rFonts w:cstheme="minorHAnsi"/>
                <w:sz w:val="20"/>
                <w:szCs w:val="20"/>
              </w:rPr>
            </w:pPr>
          </w:p>
          <w:p w14:paraId="1A07B188" w14:textId="0BA5EA80" w:rsidR="00851960" w:rsidRPr="00D04DA2" w:rsidRDefault="00FA1285" w:rsidP="00D04DA2">
            <w:pPr>
              <w:spacing w:after="0" w:line="240" w:lineRule="auto"/>
              <w:contextualSpacing/>
              <w:rPr>
                <w:rFonts w:cstheme="minorHAnsi"/>
                <w:sz w:val="20"/>
                <w:szCs w:val="20"/>
              </w:rPr>
            </w:pPr>
            <w:hyperlink r:id="rId51" w:history="1">
              <w:r w:rsidR="00FF3E41" w:rsidRPr="00D04DA2">
                <w:rPr>
                  <w:rStyle w:val="Hyperlink"/>
                  <w:rFonts w:cstheme="minorHAnsi"/>
                  <w:sz w:val="20"/>
                  <w:szCs w:val="20"/>
                </w:rPr>
                <w:t>https://tcdata360.worldbank.org/indicators/h7d169f4f</w:t>
              </w:r>
            </w:hyperlink>
            <w:r w:rsidR="00FF3E41" w:rsidRPr="00D04DA2">
              <w:rPr>
                <w:rFonts w:cstheme="minorHAnsi"/>
                <w:sz w:val="20"/>
                <w:szCs w:val="20"/>
              </w:rPr>
              <w:t xml:space="preserve"> </w:t>
            </w:r>
          </w:p>
        </w:tc>
      </w:tr>
      <w:tr w:rsidR="00912FA5" w:rsidRPr="00D04DA2" w14:paraId="3127FD0C"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4FF8A99B" w14:textId="532E3DA7" w:rsidR="00E5474F" w:rsidRPr="00D04DA2" w:rsidRDefault="09C99BCA"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5</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118F788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107983"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3B126A96" w14:textId="657FEE9B"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Corporate </w:t>
            </w:r>
            <w:r w:rsidR="00E45572" w:rsidRPr="00D04DA2">
              <w:rPr>
                <w:rFonts w:cstheme="minorHAnsi"/>
                <w:color w:val="000000"/>
                <w:sz w:val="20"/>
                <w:szCs w:val="20"/>
              </w:rPr>
              <w:t>t</w:t>
            </w:r>
            <w:r w:rsidRPr="00D04DA2">
              <w:rPr>
                <w:rFonts w:cstheme="minorHAnsi"/>
                <w:color w:val="000000"/>
                <w:sz w:val="20"/>
                <w:szCs w:val="20"/>
              </w:rPr>
              <w:t xml:space="preserve">ax </w:t>
            </w:r>
            <w:r w:rsidR="00E45572" w:rsidRPr="00D04DA2">
              <w:rPr>
                <w:rFonts w:cstheme="minorHAnsi"/>
                <w:color w:val="000000"/>
                <w:sz w:val="20"/>
                <w:szCs w:val="20"/>
              </w:rPr>
              <w:t>h</w:t>
            </w:r>
            <w:r w:rsidRPr="00D04DA2">
              <w:rPr>
                <w:rFonts w:cstheme="minorHAnsi"/>
                <w:color w:val="000000"/>
                <w:sz w:val="20"/>
                <w:szCs w:val="20"/>
              </w:rPr>
              <w:t xml:space="preserve">aven </w:t>
            </w:r>
            <w:r w:rsidR="00E45572" w:rsidRPr="00D04DA2">
              <w:rPr>
                <w:rFonts w:cstheme="minorHAnsi"/>
                <w:color w:val="000000"/>
                <w:sz w:val="20"/>
                <w:szCs w:val="20"/>
              </w:rPr>
              <w:t>i</w:t>
            </w:r>
            <w:r w:rsidRPr="00D04DA2">
              <w:rPr>
                <w:rFonts w:cstheme="minorHAnsi"/>
                <w:color w:val="000000"/>
                <w:sz w:val="20"/>
                <w:szCs w:val="20"/>
              </w:rPr>
              <w:t>ndex</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8FC7B8" w14:textId="7D016A33" w:rsidR="00E5474F" w:rsidRPr="00D04DA2" w:rsidRDefault="006339A9" w:rsidP="00D04DA2">
            <w:pPr>
              <w:spacing w:after="0" w:line="240" w:lineRule="auto"/>
              <w:contextualSpacing/>
              <w:rPr>
                <w:rFonts w:cstheme="minorHAnsi"/>
                <w:color w:val="000000"/>
                <w:sz w:val="20"/>
                <w:szCs w:val="20"/>
              </w:rPr>
            </w:pPr>
            <w:r w:rsidRPr="00D04DA2">
              <w:rPr>
                <w:rFonts w:cstheme="minorHAnsi"/>
                <w:sz w:val="20"/>
                <w:szCs w:val="20"/>
              </w:rPr>
              <w:t xml:space="preserve">Score </w:t>
            </w:r>
            <w:r w:rsidR="00D52DA2" w:rsidRPr="00D04DA2">
              <w:rPr>
                <w:rFonts w:cstheme="minorHAnsi"/>
                <w:sz w:val="20"/>
                <w:szCs w:val="20"/>
              </w:rPr>
              <w:t>of</w:t>
            </w:r>
            <w:r w:rsidRPr="00D04DA2">
              <w:rPr>
                <w:rFonts w:cstheme="minorHAnsi"/>
                <w:sz w:val="20"/>
                <w:szCs w:val="20"/>
              </w:rPr>
              <w:t xml:space="preserve"> 0-100</w:t>
            </w:r>
            <w:r w:rsidR="00073BD4" w:rsidRPr="00D04DA2">
              <w:rPr>
                <w:rFonts w:cstheme="minorHAnsi"/>
                <w:sz w:val="20"/>
                <w:szCs w:val="20"/>
              </w:rPr>
              <w:t xml:space="preserve"> (</w:t>
            </w:r>
            <w:r w:rsidR="0016137F" w:rsidRPr="00D04DA2">
              <w:rPr>
                <w:rFonts w:cstheme="minorHAnsi"/>
                <w:sz w:val="20"/>
                <w:szCs w:val="20"/>
              </w:rPr>
              <w:t xml:space="preserve">0 </w:t>
            </w:r>
            <w:r w:rsidR="00095A15" w:rsidRPr="00D04DA2">
              <w:rPr>
                <w:rFonts w:cstheme="minorHAnsi"/>
                <w:sz w:val="20"/>
                <w:szCs w:val="20"/>
              </w:rPr>
              <w:t>indicates</w:t>
            </w:r>
            <w:r w:rsidR="0016137F" w:rsidRPr="00D04DA2">
              <w:rPr>
                <w:rFonts w:cstheme="minorHAnsi"/>
                <w:sz w:val="20"/>
                <w:szCs w:val="20"/>
              </w:rPr>
              <w:t xml:space="preserve"> no scope for corporate tax abuse</w:t>
            </w:r>
            <w:r w:rsidR="004A7294" w:rsidRPr="00D04DA2">
              <w:rPr>
                <w:rFonts w:cstheme="minorHAnsi"/>
                <w:sz w:val="20"/>
                <w:szCs w:val="20"/>
              </w:rPr>
              <w:t>;</w:t>
            </w:r>
            <w:r w:rsidR="0016137F" w:rsidRPr="00D04DA2">
              <w:rPr>
                <w:rFonts w:cstheme="minorHAnsi"/>
                <w:sz w:val="20"/>
                <w:szCs w:val="20"/>
              </w:rPr>
              <w:t xml:space="preserve"> 100 </w:t>
            </w:r>
            <w:r w:rsidR="00095A15" w:rsidRPr="00D04DA2">
              <w:rPr>
                <w:rFonts w:cstheme="minorHAnsi"/>
                <w:sz w:val="20"/>
                <w:szCs w:val="20"/>
              </w:rPr>
              <w:t>indicates</w:t>
            </w:r>
            <w:r w:rsidR="0016137F" w:rsidRPr="00D04DA2">
              <w:rPr>
                <w:rFonts w:cstheme="minorHAnsi"/>
                <w:sz w:val="20"/>
                <w:szCs w:val="20"/>
              </w:rPr>
              <w:t xml:space="preserve"> unrestrained scope</w:t>
            </w:r>
            <w:r w:rsidR="00962164" w:rsidRPr="00D04DA2">
              <w:rPr>
                <w:rFonts w:cstheme="minorHAnsi"/>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EDC5C5"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cstheme="minorHAnsi"/>
                <w:color w:val="000000"/>
                <w:sz w:val="20"/>
                <w:szCs w:val="20"/>
              </w:rPr>
              <w:t>Tax Justice Network</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36C8EDEF" w14:textId="59A4BF40"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166945" w14:textId="77777777" w:rsidR="00FF3E41"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Jurisdictions are ranked by their Corporate Tax Haven Index (CTHI) value, which is calculated by combining a jurisdiction’s Haven score </w:t>
            </w:r>
            <w:r w:rsidR="00073BD4" w:rsidRPr="00D04DA2">
              <w:rPr>
                <w:rFonts w:cstheme="minorHAnsi"/>
                <w:color w:val="000000"/>
                <w:sz w:val="20"/>
                <w:szCs w:val="20"/>
              </w:rPr>
              <w:t>(CTHS)</w:t>
            </w:r>
            <w:r w:rsidRPr="00D04DA2">
              <w:rPr>
                <w:rFonts w:cstheme="minorHAnsi"/>
                <w:color w:val="000000"/>
                <w:sz w:val="20"/>
                <w:szCs w:val="20"/>
              </w:rPr>
              <w:t xml:space="preserve"> and global scale weight</w:t>
            </w:r>
            <w:r w:rsidR="00073BD4" w:rsidRPr="00D04DA2">
              <w:rPr>
                <w:rFonts w:cstheme="minorHAnsi"/>
                <w:color w:val="000000"/>
                <w:sz w:val="20"/>
                <w:szCs w:val="20"/>
              </w:rPr>
              <w:t xml:space="preserve"> (GSW)</w:t>
            </w:r>
            <w:r w:rsidRPr="00D04DA2">
              <w:rPr>
                <w:rFonts w:cstheme="minorHAnsi"/>
                <w:color w:val="000000"/>
                <w:sz w:val="20"/>
                <w:szCs w:val="20"/>
              </w:rPr>
              <w:t xml:space="preserve">. A jurisdiction’s haven score is a measure of how much scope for corporate tax abuse the jurisdiction’s tax and financial systems allow and is assessed against 20 indicators. </w:t>
            </w:r>
          </w:p>
          <w:p w14:paraId="612F308B" w14:textId="77777777" w:rsidR="00FF3E41" w:rsidRPr="00D04DA2" w:rsidRDefault="00FF3E41" w:rsidP="00D04DA2">
            <w:pPr>
              <w:spacing w:after="0" w:line="240" w:lineRule="auto"/>
              <w:contextualSpacing/>
              <w:rPr>
                <w:rFonts w:cstheme="minorHAnsi"/>
                <w:color w:val="000000"/>
                <w:sz w:val="20"/>
                <w:szCs w:val="20"/>
              </w:rPr>
            </w:pPr>
          </w:p>
          <w:p w14:paraId="555CBBB8" w14:textId="79CE6F9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A jurisdiction’s global scale weight is a measure of how much financial activity from multinational corporations the jurisdiction hosts. Combining a jurisdiction’s Haven Score and Global Scale Weight </w:t>
            </w:r>
            <w:r w:rsidR="00073BD4" w:rsidRPr="00D04DA2">
              <w:rPr>
                <w:rFonts w:cstheme="minorHAnsi"/>
                <w:color w:val="000000"/>
                <w:sz w:val="20"/>
                <w:szCs w:val="20"/>
              </w:rPr>
              <w:t xml:space="preserve">(CTHI) </w:t>
            </w:r>
            <w:r w:rsidRPr="00D04DA2">
              <w:rPr>
                <w:rFonts w:cstheme="minorHAnsi"/>
                <w:color w:val="000000"/>
                <w:sz w:val="20"/>
                <w:szCs w:val="20"/>
              </w:rPr>
              <w:t>gives a picture of how much of the world's corporate financial activity is put at risk of corporate tax abuse by the jurisdiction.</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1A6AB5" w14:textId="7879D079" w:rsidR="00E5474F" w:rsidRPr="00D04DA2" w:rsidRDefault="0001308C"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9A7023" w14:textId="0FBEE316"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 xml:space="preserve">Global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CCD6F0" w14:textId="77777777"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cstheme="minorHAnsi"/>
                <w:color w:val="000000"/>
                <w:sz w:val="20"/>
                <w:szCs w:val="20"/>
              </w:rPr>
              <w:t>70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330ECFA7" w14:textId="04705398" w:rsidR="00E5474F" w:rsidRPr="00D04DA2" w:rsidRDefault="009001F0" w:rsidP="00D04DA2">
            <w:pPr>
              <w:spacing w:after="0" w:line="240" w:lineRule="auto"/>
              <w:contextualSpacing/>
              <w:rPr>
                <w:rFonts w:cstheme="minorHAnsi"/>
                <w:color w:val="000000"/>
                <w:sz w:val="20"/>
                <w:szCs w:val="20"/>
              </w:rPr>
            </w:pPr>
            <w:r>
              <w:rPr>
                <w:rFonts w:cstheme="minorHAnsi"/>
                <w:sz w:val="20"/>
                <w:szCs w:val="20"/>
              </w:rPr>
              <w:t>Cannot easily identify in the source PDF.</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5EA86D" w14:textId="580D7B50" w:rsidR="00E5474F" w:rsidRPr="00D04DA2" w:rsidRDefault="00701084" w:rsidP="00D04DA2">
            <w:pPr>
              <w:spacing w:after="0" w:line="240" w:lineRule="auto"/>
              <w:contextualSpacing/>
              <w:rPr>
                <w:rFonts w:cstheme="minorHAnsi"/>
                <w:color w:val="000000"/>
                <w:sz w:val="20"/>
                <w:szCs w:val="20"/>
              </w:rPr>
            </w:pPr>
            <w:r w:rsidRPr="00D04DA2">
              <w:rPr>
                <w:rFonts w:cstheme="minorHAnsi"/>
                <w:sz w:val="20"/>
                <w:szCs w:val="20"/>
              </w:rPr>
              <w:t xml:space="preserve">The indicator is published for </w:t>
            </w:r>
            <w:r w:rsidR="00E5474F" w:rsidRPr="00D04DA2">
              <w:rPr>
                <w:rFonts w:cstheme="minorHAnsi"/>
                <w:sz w:val="20"/>
                <w:szCs w:val="20"/>
              </w:rPr>
              <w:t>2019</w:t>
            </w:r>
            <w:r w:rsidR="002C0F20" w:rsidRPr="00D04DA2">
              <w:rPr>
                <w:rFonts w:cstheme="minorHAnsi"/>
                <w:sz w:val="20"/>
                <w:szCs w:val="20"/>
              </w:rPr>
              <w:t xml:space="preserve"> and </w:t>
            </w:r>
            <w:r w:rsidR="00E5474F" w:rsidRPr="00D04DA2">
              <w:rPr>
                <w:rFonts w:cstheme="minorHAnsi"/>
                <w:sz w:val="20"/>
                <w:szCs w:val="20"/>
              </w:rPr>
              <w:t>2021</w:t>
            </w:r>
            <w:r w:rsidR="0099503F" w:rsidRPr="00D04DA2">
              <w:rPr>
                <w:rFonts w:cstheme="minorHAnsi"/>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054E93BF" w14:textId="64E67A48" w:rsidR="00E5474F" w:rsidRPr="00D04DA2" w:rsidRDefault="00FA1285" w:rsidP="00D04DA2">
            <w:pPr>
              <w:spacing w:after="0" w:line="240" w:lineRule="auto"/>
              <w:contextualSpacing/>
              <w:rPr>
                <w:rFonts w:cstheme="minorHAnsi"/>
                <w:color w:val="0563C1"/>
                <w:sz w:val="20"/>
                <w:szCs w:val="20"/>
                <w:u w:val="single"/>
              </w:rPr>
            </w:pPr>
            <w:hyperlink r:id="rId52" w:history="1">
              <w:r w:rsidR="00034262" w:rsidRPr="00D04DA2">
                <w:rPr>
                  <w:rStyle w:val="Hyperlink"/>
                  <w:rFonts w:cstheme="minorHAnsi"/>
                  <w:sz w:val="20"/>
                  <w:szCs w:val="20"/>
                </w:rPr>
                <w:t>https://cthi.taxjustice.net/en/</w:t>
              </w:r>
            </w:hyperlink>
          </w:p>
          <w:p w14:paraId="5DAF560A" w14:textId="77777777" w:rsidR="00034262" w:rsidRPr="00D04DA2" w:rsidRDefault="00034262" w:rsidP="00D04DA2">
            <w:pPr>
              <w:spacing w:after="0" w:line="240" w:lineRule="auto"/>
              <w:contextualSpacing/>
              <w:rPr>
                <w:rFonts w:cstheme="minorHAnsi"/>
                <w:color w:val="0563C1"/>
                <w:sz w:val="20"/>
                <w:szCs w:val="20"/>
                <w:u w:val="single"/>
              </w:rPr>
            </w:pPr>
          </w:p>
          <w:p w14:paraId="1F704587" w14:textId="0CB16791" w:rsidR="00E5474F" w:rsidRPr="00D04DA2" w:rsidRDefault="00034262" w:rsidP="00D04DA2">
            <w:pPr>
              <w:spacing w:after="0" w:line="240" w:lineRule="auto"/>
              <w:contextualSpacing/>
              <w:rPr>
                <w:rFonts w:cstheme="minorHAnsi"/>
                <w:b/>
                <w:bCs/>
                <w:color w:val="FF0000"/>
                <w:sz w:val="20"/>
                <w:szCs w:val="20"/>
              </w:rPr>
            </w:pPr>
            <w:r w:rsidRPr="00D04DA2">
              <w:rPr>
                <w:rFonts w:cstheme="minorHAnsi"/>
                <w:b/>
                <w:bCs/>
                <w:color w:val="FF0000"/>
                <w:sz w:val="20"/>
                <w:szCs w:val="20"/>
              </w:rPr>
              <w:t xml:space="preserve">The data </w:t>
            </w:r>
            <w:r w:rsidR="00243A47" w:rsidRPr="00D04DA2">
              <w:rPr>
                <w:rFonts w:cstheme="minorHAnsi"/>
                <w:b/>
                <w:bCs/>
                <w:color w:val="FF0000"/>
                <w:sz w:val="20"/>
                <w:szCs w:val="20"/>
              </w:rPr>
              <w:t>is</w:t>
            </w:r>
            <w:r w:rsidRPr="00D04DA2">
              <w:rPr>
                <w:rFonts w:cstheme="minorHAnsi"/>
                <w:b/>
                <w:bCs/>
                <w:color w:val="FF0000"/>
                <w:sz w:val="20"/>
                <w:szCs w:val="20"/>
              </w:rPr>
              <w:t xml:space="preserve"> available in PDF only. It is not currently available in an editable format.</w:t>
            </w:r>
          </w:p>
        </w:tc>
      </w:tr>
      <w:tr w:rsidR="00912FA5" w:rsidRPr="00D04DA2" w14:paraId="7B1C63F2"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66238741" w14:textId="0C31B523" w:rsidR="00E5474F" w:rsidRPr="00D04DA2" w:rsidRDefault="01A45E60"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6</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C08B6E8" w14:textId="77777777"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5DCA81" w14:textId="1B9F0BA6" w:rsidR="00E5474F" w:rsidRPr="00D04DA2" w:rsidRDefault="00882344" w:rsidP="00D04DA2">
            <w:pPr>
              <w:spacing w:after="0" w:line="240" w:lineRule="auto"/>
              <w:contextualSpacing/>
              <w:rPr>
                <w:rFonts w:cstheme="minorHAnsi"/>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2A2EAA2E" w14:textId="64D69B5A" w:rsidR="00E5474F" w:rsidRPr="00D04DA2" w:rsidRDefault="00934420"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Tax policy sub-factor (</w:t>
            </w:r>
            <w:r w:rsidR="008F5814" w:rsidRPr="00D04DA2">
              <w:rPr>
                <w:rFonts w:eastAsia="Times New Roman" w:cstheme="minorHAnsi"/>
                <w:sz w:val="20"/>
                <w:szCs w:val="20"/>
              </w:rPr>
              <w:t>Government Efficiency</w:t>
            </w:r>
            <w:r w:rsidR="00804AED" w:rsidRPr="00D04DA2">
              <w:rPr>
                <w:rFonts w:eastAsia="Times New Roman" w:cstheme="minorHAnsi"/>
                <w:sz w:val="20"/>
                <w:szCs w:val="20"/>
              </w:rPr>
              <w:t xml:space="preserve"> of</w:t>
            </w:r>
            <w:r w:rsidR="002E2654" w:rsidRPr="00D04DA2">
              <w:rPr>
                <w:rFonts w:eastAsia="Times New Roman" w:cstheme="minorHAnsi"/>
                <w:sz w:val="20"/>
                <w:szCs w:val="20"/>
              </w:rPr>
              <w:t xml:space="preserve"> the </w:t>
            </w:r>
            <w:r w:rsidRPr="00D04DA2">
              <w:rPr>
                <w:rFonts w:eastAsia="Times New Roman" w:cstheme="minorHAnsi"/>
                <w:sz w:val="20"/>
                <w:szCs w:val="20"/>
              </w:rPr>
              <w:t>World Competitiveness Yearbook)</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36F2A" w14:textId="533C3997" w:rsidR="00E5474F" w:rsidRPr="00D04DA2" w:rsidDel="00B47EC9" w:rsidRDefault="009C682A" w:rsidP="00D04DA2">
            <w:pPr>
              <w:spacing w:after="0" w:line="240" w:lineRule="auto"/>
              <w:contextualSpacing/>
              <w:rPr>
                <w:rFonts w:eastAsia="Times New Roman" w:cstheme="minorHAnsi"/>
                <w:sz w:val="20"/>
                <w:szCs w:val="20"/>
              </w:rPr>
            </w:pPr>
            <w:r w:rsidRPr="00D04DA2">
              <w:rPr>
                <w:rFonts w:eastAsia="Times New Roman" w:cstheme="minorHAnsi"/>
                <w:sz w:val="20"/>
                <w:szCs w:val="20"/>
              </w:rPr>
              <w:t xml:space="preserve">Score </w:t>
            </w:r>
            <w:r w:rsidR="001C5403" w:rsidRPr="00D04DA2">
              <w:rPr>
                <w:rFonts w:eastAsia="Times New Roman" w:cstheme="minorHAnsi"/>
                <w:sz w:val="20"/>
                <w:szCs w:val="20"/>
              </w:rPr>
              <w:t>of</w:t>
            </w:r>
            <w:r w:rsidRPr="00D04DA2">
              <w:rPr>
                <w:rFonts w:eastAsia="Times New Roman" w:cstheme="minorHAnsi"/>
                <w:sz w:val="20"/>
                <w:szCs w:val="20"/>
              </w:rPr>
              <w:t xml:space="preserve"> 0-100</w:t>
            </w:r>
            <w:r w:rsidR="00957B14" w:rsidRPr="00D04DA2">
              <w:rPr>
                <w:rFonts w:eastAsia="Times New Roman" w:cstheme="minorHAnsi"/>
                <w:sz w:val="20"/>
                <w:szCs w:val="20"/>
              </w:rPr>
              <w:t xml:space="preserve"> </w:t>
            </w:r>
            <w:r w:rsidR="0061765B" w:rsidRPr="00D04DA2">
              <w:rPr>
                <w:rFonts w:eastAsia="Times New Roman" w:cstheme="minorHAnsi"/>
                <w:sz w:val="20"/>
                <w:szCs w:val="20"/>
              </w:rPr>
              <w:t>(</w:t>
            </w:r>
            <w:r w:rsidR="00EB5576" w:rsidRPr="00D04DA2">
              <w:rPr>
                <w:rFonts w:eastAsia="Times New Roman" w:cstheme="minorHAnsi"/>
                <w:sz w:val="20"/>
                <w:szCs w:val="20"/>
              </w:rPr>
              <w:t xml:space="preserve">where </w:t>
            </w:r>
            <w:r w:rsidR="0061765B" w:rsidRPr="00D04DA2">
              <w:rPr>
                <w:rFonts w:eastAsia="Times New Roman" w:cstheme="minorHAnsi"/>
                <w:sz w:val="20"/>
                <w:szCs w:val="20"/>
              </w:rPr>
              <w:t>0 indicate</w:t>
            </w:r>
            <w:r w:rsidR="00172E36" w:rsidRPr="00D04DA2">
              <w:rPr>
                <w:rFonts w:eastAsia="Times New Roman" w:cstheme="minorHAnsi"/>
                <w:sz w:val="20"/>
                <w:szCs w:val="20"/>
              </w:rPr>
              <w:t>s</w:t>
            </w:r>
            <w:r w:rsidR="00532829" w:rsidRPr="00D04DA2">
              <w:rPr>
                <w:rFonts w:eastAsia="Times New Roman" w:cstheme="minorHAnsi"/>
                <w:sz w:val="20"/>
                <w:szCs w:val="20"/>
              </w:rPr>
              <w:t xml:space="preserve"> worst performance</w:t>
            </w:r>
            <w:r w:rsidR="00EB5576" w:rsidRPr="00D04DA2">
              <w:rPr>
                <w:rFonts w:eastAsia="Times New Roman" w:cstheme="minorHAnsi"/>
                <w:sz w:val="20"/>
                <w:szCs w:val="20"/>
              </w:rPr>
              <w:t>;</w:t>
            </w:r>
            <w:r w:rsidR="00532829" w:rsidRPr="00D04DA2">
              <w:rPr>
                <w:rFonts w:eastAsia="Times New Roman" w:cstheme="minorHAnsi"/>
                <w:sz w:val="20"/>
                <w:szCs w:val="20"/>
              </w:rPr>
              <w:t xml:space="preserve"> 100 indicates best performance)</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0C90E6" w14:textId="77777777"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Institute for Management and Development (IMD)</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0E1F9DF3" w14:textId="032BA506" w:rsidR="00E5474F" w:rsidRPr="00D04DA2" w:rsidRDefault="00034702" w:rsidP="00D04DA2">
            <w:pPr>
              <w:spacing w:after="0" w:line="240" w:lineRule="auto"/>
              <w:contextualSpacing/>
              <w:rPr>
                <w:rFonts w:eastAsia="Calibri" w:cstheme="minorHAnsi"/>
                <w:sz w:val="20"/>
                <w:szCs w:val="20"/>
              </w:rPr>
            </w:pPr>
            <w:r w:rsidRPr="00D04DA2">
              <w:rPr>
                <w:rFonts w:eastAsia="Calibri"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060CC5" w14:textId="77777777"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The IMD World Competitiveness Yearbook is the leading annual report on the competitiveness of nations and has been published by IMD since 1989. It benchmarks the performance of countries based on more than 300 criteria measuring different facets of competitiveness.</w:t>
            </w:r>
          </w:p>
          <w:p w14:paraId="4DA61A64" w14:textId="77777777" w:rsidR="007C4599" w:rsidRPr="00D04DA2" w:rsidRDefault="007C4599" w:rsidP="00D04DA2">
            <w:pPr>
              <w:spacing w:after="0" w:line="240" w:lineRule="auto"/>
              <w:contextualSpacing/>
              <w:rPr>
                <w:rFonts w:eastAsia="Times New Roman" w:cstheme="minorHAnsi"/>
                <w:sz w:val="20"/>
                <w:szCs w:val="20"/>
              </w:rPr>
            </w:pPr>
          </w:p>
          <w:p w14:paraId="203B5230" w14:textId="77777777" w:rsidR="00843044" w:rsidRPr="00D04DA2" w:rsidRDefault="00C543B9" w:rsidP="00D04DA2">
            <w:pPr>
              <w:spacing w:after="0" w:line="240" w:lineRule="auto"/>
              <w:contextualSpacing/>
              <w:rPr>
                <w:rFonts w:cstheme="minorHAnsi"/>
                <w:sz w:val="20"/>
                <w:szCs w:val="20"/>
              </w:rPr>
            </w:pPr>
            <w:r w:rsidRPr="00D04DA2">
              <w:rPr>
                <w:rFonts w:cstheme="minorHAnsi"/>
                <w:sz w:val="20"/>
                <w:szCs w:val="20"/>
              </w:rPr>
              <w:t>Under</w:t>
            </w:r>
            <w:r w:rsidR="003D40E4" w:rsidRPr="00D04DA2">
              <w:rPr>
                <w:rFonts w:cstheme="minorHAnsi"/>
                <w:sz w:val="20"/>
                <w:szCs w:val="20"/>
              </w:rPr>
              <w:t xml:space="preserve"> the tax policy sub-factor, it includes information on 12 aspects, namely</w:t>
            </w:r>
            <w:r w:rsidR="00843044" w:rsidRPr="00D04DA2">
              <w:rPr>
                <w:rFonts w:cstheme="minorHAnsi"/>
                <w:sz w:val="20"/>
                <w:szCs w:val="20"/>
              </w:rPr>
              <w:t>:</w:t>
            </w:r>
          </w:p>
          <w:p w14:paraId="10214EE1" w14:textId="67D990B6"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ollected total tax revenues</w:t>
            </w:r>
            <w:r w:rsidR="00F47B82" w:rsidRPr="00D04DA2">
              <w:rPr>
                <w:rFonts w:cstheme="minorHAnsi"/>
                <w:sz w:val="20"/>
                <w:szCs w:val="20"/>
              </w:rPr>
              <w:t>,</w:t>
            </w:r>
          </w:p>
          <w:p w14:paraId="449B3969" w14:textId="26269AE4"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ollected personal income tax</w:t>
            </w:r>
            <w:r w:rsidR="00F47B82" w:rsidRPr="00D04DA2">
              <w:rPr>
                <w:rFonts w:cstheme="minorHAnsi"/>
                <w:sz w:val="20"/>
                <w:szCs w:val="20"/>
              </w:rPr>
              <w:t>,</w:t>
            </w:r>
          </w:p>
          <w:p w14:paraId="059A9822" w14:textId="7F3A2BC6"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ollected corporate taxes</w:t>
            </w:r>
            <w:r w:rsidR="00F47B82" w:rsidRPr="00D04DA2">
              <w:rPr>
                <w:rFonts w:cstheme="minorHAnsi"/>
                <w:sz w:val="20"/>
                <w:szCs w:val="20"/>
              </w:rPr>
              <w:t>,</w:t>
            </w:r>
          </w:p>
          <w:p w14:paraId="22D218F6" w14:textId="78161C6F"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lastRenderedPageBreak/>
              <w:t>c</w:t>
            </w:r>
            <w:r w:rsidR="007C4599" w:rsidRPr="00D04DA2">
              <w:rPr>
                <w:rFonts w:cstheme="minorHAnsi"/>
                <w:sz w:val="20"/>
                <w:szCs w:val="20"/>
              </w:rPr>
              <w:t>ollected indirect tax revenues</w:t>
            </w:r>
            <w:r w:rsidR="00F47B82" w:rsidRPr="00D04DA2">
              <w:rPr>
                <w:rFonts w:cstheme="minorHAnsi"/>
                <w:sz w:val="20"/>
                <w:szCs w:val="20"/>
              </w:rPr>
              <w:t>,</w:t>
            </w:r>
          </w:p>
          <w:p w14:paraId="1C4A07EB" w14:textId="49A63BD9"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ollected capital and property taxes</w:t>
            </w:r>
            <w:r w:rsidR="00F47B82" w:rsidRPr="00D04DA2">
              <w:rPr>
                <w:rFonts w:cstheme="minorHAnsi"/>
                <w:sz w:val="20"/>
                <w:szCs w:val="20"/>
              </w:rPr>
              <w:t>,</w:t>
            </w:r>
          </w:p>
          <w:p w14:paraId="6B1061A9" w14:textId="00B4C46A"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ollected social security contribution</w:t>
            </w:r>
            <w:r w:rsidR="00F47B82" w:rsidRPr="00D04DA2">
              <w:rPr>
                <w:rFonts w:cstheme="minorHAnsi"/>
                <w:sz w:val="20"/>
                <w:szCs w:val="20"/>
              </w:rPr>
              <w:t>,</w:t>
            </w:r>
          </w:p>
          <w:p w14:paraId="7872B58C" w14:textId="7EB0BBC3"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orporate tax rate on profit</w:t>
            </w:r>
            <w:r w:rsidR="00F47B82" w:rsidRPr="00D04DA2">
              <w:rPr>
                <w:rFonts w:cstheme="minorHAnsi"/>
                <w:sz w:val="20"/>
                <w:szCs w:val="20"/>
              </w:rPr>
              <w:t>,</w:t>
            </w:r>
          </w:p>
          <w:p w14:paraId="656AAE1D" w14:textId="065AD38B"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c</w:t>
            </w:r>
            <w:r w:rsidR="007C4599" w:rsidRPr="00D04DA2">
              <w:rPr>
                <w:rFonts w:cstheme="minorHAnsi"/>
                <w:sz w:val="20"/>
                <w:szCs w:val="20"/>
              </w:rPr>
              <w:t>onsumption tax rate</w:t>
            </w:r>
            <w:r w:rsidR="00F47B82" w:rsidRPr="00D04DA2">
              <w:rPr>
                <w:rFonts w:cstheme="minorHAnsi"/>
                <w:sz w:val="20"/>
                <w:szCs w:val="20"/>
              </w:rPr>
              <w:t>,</w:t>
            </w:r>
          </w:p>
          <w:p w14:paraId="4C062D28" w14:textId="11EACF08"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e</w:t>
            </w:r>
            <w:r w:rsidR="007C4599" w:rsidRPr="00D04DA2">
              <w:rPr>
                <w:rFonts w:cstheme="minorHAnsi"/>
                <w:sz w:val="20"/>
                <w:szCs w:val="20"/>
              </w:rPr>
              <w:t>mployer social security tax rate</w:t>
            </w:r>
            <w:r w:rsidR="00F47B82" w:rsidRPr="00D04DA2">
              <w:rPr>
                <w:rFonts w:cstheme="minorHAnsi"/>
                <w:sz w:val="20"/>
                <w:szCs w:val="20"/>
              </w:rPr>
              <w:t>,</w:t>
            </w:r>
          </w:p>
          <w:p w14:paraId="3061F9BA" w14:textId="204D8FD3"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e</w:t>
            </w:r>
            <w:r w:rsidR="007C4599" w:rsidRPr="00D04DA2">
              <w:rPr>
                <w:rFonts w:cstheme="minorHAnsi"/>
                <w:sz w:val="20"/>
                <w:szCs w:val="20"/>
              </w:rPr>
              <w:t>mployee social security tax rate</w:t>
            </w:r>
            <w:r w:rsidR="00F47B82" w:rsidRPr="00D04DA2">
              <w:rPr>
                <w:rFonts w:cstheme="minorHAnsi"/>
                <w:sz w:val="20"/>
                <w:szCs w:val="20"/>
              </w:rPr>
              <w:t>,</w:t>
            </w:r>
          </w:p>
          <w:p w14:paraId="1A78F63E" w14:textId="77777777" w:rsidR="00F47B82"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r</w:t>
            </w:r>
            <w:r w:rsidR="007C4599" w:rsidRPr="00D04DA2">
              <w:rPr>
                <w:rFonts w:cstheme="minorHAnsi"/>
                <w:sz w:val="20"/>
                <w:szCs w:val="20"/>
              </w:rPr>
              <w:t>eal personal taxes</w:t>
            </w:r>
            <w:r w:rsidR="00127F73" w:rsidRPr="00D04DA2">
              <w:rPr>
                <w:rFonts w:cstheme="minorHAnsi"/>
                <w:sz w:val="20"/>
                <w:szCs w:val="20"/>
              </w:rPr>
              <w:t xml:space="preserve">, </w:t>
            </w:r>
            <w:r w:rsidRPr="00D04DA2">
              <w:rPr>
                <w:rFonts w:cstheme="minorHAnsi"/>
                <w:sz w:val="20"/>
                <w:szCs w:val="20"/>
              </w:rPr>
              <w:t>and</w:t>
            </w:r>
          </w:p>
          <w:p w14:paraId="6DFB374F" w14:textId="26C2CE81" w:rsidR="00E5474F" w:rsidRPr="00D04DA2" w:rsidRDefault="003D40E4" w:rsidP="00D04DA2">
            <w:pPr>
              <w:pStyle w:val="ListParagraph"/>
              <w:numPr>
                <w:ilvl w:val="0"/>
                <w:numId w:val="8"/>
              </w:numPr>
              <w:spacing w:after="0" w:line="240" w:lineRule="auto"/>
              <w:rPr>
                <w:rFonts w:cstheme="minorHAnsi"/>
                <w:sz w:val="20"/>
                <w:szCs w:val="20"/>
              </w:rPr>
            </w:pPr>
            <w:r w:rsidRPr="00D04DA2">
              <w:rPr>
                <w:rFonts w:cstheme="minorHAnsi"/>
                <w:sz w:val="20"/>
                <w:szCs w:val="20"/>
              </w:rPr>
              <w:t>r</w:t>
            </w:r>
            <w:r w:rsidR="007C4599" w:rsidRPr="00D04DA2">
              <w:rPr>
                <w:rFonts w:cstheme="minorHAnsi"/>
                <w:sz w:val="20"/>
                <w:szCs w:val="20"/>
              </w:rPr>
              <w:t>eal corporate taxes</w:t>
            </w:r>
            <w:r w:rsidRPr="00D04DA2">
              <w:rPr>
                <w:rFonts w:cstheme="minorHAnsi"/>
                <w:sz w:val="20"/>
                <w:szCs w:val="20"/>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7C47DC" w14:textId="21B2DD99" w:rsidR="00E5474F" w:rsidRPr="00D04DA2" w:rsidRDefault="003D40E4" w:rsidP="00D04DA2">
            <w:pPr>
              <w:spacing w:after="0" w:line="240" w:lineRule="auto"/>
              <w:contextualSpacing/>
              <w:rPr>
                <w:rFonts w:eastAsia="Times New Roman" w:cstheme="minorHAnsi"/>
                <w:sz w:val="20"/>
                <w:szCs w:val="20"/>
              </w:rPr>
            </w:pPr>
            <w:r w:rsidRPr="00D04DA2">
              <w:rPr>
                <w:rFonts w:eastAsia="Times New Roman" w:cstheme="minorHAnsi"/>
                <w:sz w:val="20"/>
                <w:szCs w:val="20"/>
              </w:rPr>
              <w:lastRenderedPageBreak/>
              <w:t>Outcom</w:t>
            </w:r>
            <w:r w:rsidR="0001308C" w:rsidRPr="00D04DA2">
              <w:rPr>
                <w:rFonts w:eastAsia="Times New Roman" w:cstheme="minorHAnsi"/>
                <w:sz w:val="20"/>
                <w:szCs w:val="20"/>
              </w:rPr>
              <w:t>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85CF34" w14:textId="4DCB189E"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6AE151" w14:textId="77777777" w:rsidR="00E5474F" w:rsidRPr="00D04DA2" w:rsidRDefault="00E5474F" w:rsidP="00D04DA2">
            <w:pPr>
              <w:spacing w:after="0" w:line="240" w:lineRule="auto"/>
              <w:contextualSpacing/>
              <w:rPr>
                <w:rFonts w:cstheme="minorHAnsi"/>
                <w:sz w:val="20"/>
                <w:szCs w:val="20"/>
              </w:rPr>
            </w:pPr>
            <w:r w:rsidRPr="00D04DA2">
              <w:rPr>
                <w:rFonts w:eastAsia="Times New Roman" w:cstheme="minorHAnsi"/>
                <w:sz w:val="20"/>
                <w:szCs w:val="20"/>
              </w:rPr>
              <w:t>64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4214489B" w14:textId="474FB9F1" w:rsidR="00E5474F" w:rsidRPr="00D04DA2" w:rsidRDefault="00E1406E" w:rsidP="00D04DA2">
            <w:pPr>
              <w:spacing w:after="0" w:line="240" w:lineRule="auto"/>
              <w:contextualSpacing/>
              <w:rPr>
                <w:rFonts w:eastAsia="Times New Roman" w:cstheme="minorHAnsi"/>
                <w:sz w:val="20"/>
                <w:szCs w:val="20"/>
              </w:rPr>
            </w:pPr>
            <w:r>
              <w:rPr>
                <w:rFonts w:eastAsia="Times New Roman"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81715D" w14:textId="0CB0F85D" w:rsidR="00E5474F" w:rsidRPr="00D04DA2" w:rsidRDefault="00E5474F" w:rsidP="00D04DA2">
            <w:pPr>
              <w:spacing w:after="0" w:line="240" w:lineRule="auto"/>
              <w:contextualSpacing/>
              <w:rPr>
                <w:rFonts w:eastAsia="Times New Roman" w:cstheme="minorHAnsi"/>
                <w:sz w:val="20"/>
                <w:szCs w:val="20"/>
              </w:rPr>
            </w:pPr>
            <w:r w:rsidRPr="00D04DA2">
              <w:rPr>
                <w:rFonts w:eastAsia="Times New Roman" w:cstheme="minorHAnsi"/>
                <w:sz w:val="20"/>
                <w:szCs w:val="20"/>
              </w:rPr>
              <w:t>Annual</w:t>
            </w:r>
            <w:r w:rsidR="00F235A2" w:rsidRPr="00D04DA2">
              <w:rPr>
                <w:rFonts w:eastAsia="Times New Roman" w:cstheme="minorHAnsi"/>
                <w:sz w:val="20"/>
                <w:szCs w:val="20"/>
              </w:rPr>
              <w:t>.</w:t>
            </w:r>
          </w:p>
          <w:p w14:paraId="048BBA6D" w14:textId="77777777" w:rsidR="005C633A" w:rsidRPr="00D04DA2" w:rsidRDefault="005C633A" w:rsidP="00D04DA2">
            <w:pPr>
              <w:spacing w:after="0" w:line="240" w:lineRule="auto"/>
              <w:contextualSpacing/>
              <w:rPr>
                <w:rFonts w:eastAsia="Times New Roman" w:cstheme="minorHAnsi"/>
                <w:sz w:val="20"/>
                <w:szCs w:val="20"/>
              </w:rPr>
            </w:pPr>
          </w:p>
          <w:p w14:paraId="0852E20E" w14:textId="037FC65F" w:rsidR="00E5474F" w:rsidRPr="00D04DA2" w:rsidRDefault="005C633A" w:rsidP="00D04DA2">
            <w:pPr>
              <w:spacing w:after="0" w:line="240" w:lineRule="auto"/>
              <w:contextualSpacing/>
              <w:rPr>
                <w:rFonts w:cstheme="minorHAnsi"/>
                <w:sz w:val="20"/>
                <w:szCs w:val="20"/>
              </w:rPr>
            </w:pPr>
            <w:r w:rsidRPr="00D04DA2">
              <w:rPr>
                <w:rFonts w:eastAsia="Times New Roman" w:cstheme="minorHAnsi"/>
                <w:sz w:val="20"/>
                <w:szCs w:val="20"/>
              </w:rPr>
              <w:t xml:space="preserve">The indicator is published for </w:t>
            </w:r>
            <w:r w:rsidR="0061765B" w:rsidRPr="00D04DA2">
              <w:rPr>
                <w:rFonts w:eastAsia="Times New Roman" w:cstheme="minorHAnsi"/>
                <w:sz w:val="20"/>
                <w:szCs w:val="20"/>
              </w:rPr>
              <w:t>2019</w:t>
            </w:r>
            <w:r w:rsidR="00A17251" w:rsidRPr="00D04DA2">
              <w:rPr>
                <w:rFonts w:eastAsia="Times New Roman" w:cstheme="minorHAnsi"/>
                <w:sz w:val="20"/>
                <w:szCs w:val="20"/>
              </w:rPr>
              <w:t>-2021.</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477EDC6" w14:textId="24A44EF4" w:rsidR="00E61167" w:rsidRDefault="00FA1285" w:rsidP="00D04DA2">
            <w:pPr>
              <w:spacing w:after="0" w:line="240" w:lineRule="auto"/>
              <w:contextualSpacing/>
              <w:rPr>
                <w:rFonts w:cstheme="minorHAnsi"/>
                <w:sz w:val="20"/>
                <w:szCs w:val="20"/>
                <w:u w:val="single"/>
              </w:rPr>
            </w:pPr>
            <w:hyperlink r:id="rId53" w:history="1">
              <w:r w:rsidR="00F72837" w:rsidRPr="00083D2A">
                <w:rPr>
                  <w:rStyle w:val="Hyperlink"/>
                  <w:rFonts w:cstheme="minorHAnsi"/>
                  <w:sz w:val="20"/>
                  <w:szCs w:val="20"/>
                </w:rPr>
                <w:t>https://worldcompetitiveness.imd.org/customsearch</w:t>
              </w:r>
            </w:hyperlink>
          </w:p>
          <w:p w14:paraId="6EB6EFDA" w14:textId="334D385C" w:rsidR="00F72837" w:rsidRPr="00D04DA2" w:rsidRDefault="00F72837" w:rsidP="00D04DA2">
            <w:pPr>
              <w:spacing w:after="0" w:line="240" w:lineRule="auto"/>
              <w:contextualSpacing/>
              <w:rPr>
                <w:rFonts w:cstheme="minorHAnsi"/>
                <w:sz w:val="20"/>
                <w:szCs w:val="20"/>
                <w:u w:val="single"/>
              </w:rPr>
            </w:pPr>
          </w:p>
        </w:tc>
      </w:tr>
      <w:tr w:rsidR="000062EF" w:rsidRPr="00D04DA2" w14:paraId="77473370" w14:textId="77777777" w:rsidTr="00AC5ACA">
        <w:trPr>
          <w:trHeight w:val="449"/>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371202D1" w14:textId="694D2611" w:rsidR="000062EF" w:rsidRPr="00D04DA2" w:rsidRDefault="001175F4"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4</w:t>
            </w:r>
            <w:r w:rsidR="00C93770">
              <w:rPr>
                <w:rFonts w:cstheme="minorHAnsi"/>
                <w:color w:val="000000" w:themeColor="text1"/>
                <w:sz w:val="20"/>
                <w:szCs w:val="20"/>
              </w:rPr>
              <w:t>7</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902DECC" w14:textId="655CF030" w:rsidR="000062EF" w:rsidRPr="00D04DA2" w:rsidRDefault="009D7640" w:rsidP="00D04DA2">
            <w:pPr>
              <w:spacing w:after="0" w:line="240" w:lineRule="auto"/>
              <w:contextualSpacing/>
              <w:rPr>
                <w:rFonts w:cstheme="minorHAnsi"/>
                <w:color w:val="000000"/>
                <w:sz w:val="20"/>
                <w:szCs w:val="20"/>
              </w:rPr>
            </w:pPr>
            <w:r w:rsidRPr="00D04DA2">
              <w:rPr>
                <w:rFonts w:cstheme="minorHAnsi"/>
                <w:color w:val="000000"/>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2A0DE8" w14:textId="6475578C" w:rsidR="000062EF" w:rsidRPr="00D04DA2" w:rsidRDefault="009D7640"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7E642FEE" w14:textId="45F50904" w:rsidR="000062EF" w:rsidRPr="00D04DA2" w:rsidDel="006D3CE0" w:rsidRDefault="000062E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Percentage of number of payments received electronically</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8FB592" w14:textId="45B45E04" w:rsidR="000062EF" w:rsidRPr="00D04DA2" w:rsidRDefault="000062E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Percentage</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358278" w14:textId="0823A8B9" w:rsidR="000062EF" w:rsidRPr="00D04DA2" w:rsidRDefault="000062EF" w:rsidP="00D04DA2">
            <w:pPr>
              <w:spacing w:after="0" w:line="240" w:lineRule="auto"/>
              <w:contextualSpacing/>
              <w:rPr>
                <w:rFonts w:cstheme="minorHAnsi"/>
                <w:sz w:val="20"/>
                <w:szCs w:val="20"/>
              </w:rPr>
            </w:pPr>
            <w:r w:rsidRPr="00D04DA2">
              <w:rPr>
                <w:rFonts w:cstheme="minorHAnsi"/>
                <w:sz w:val="20"/>
                <w:szCs w:val="20"/>
              </w:rPr>
              <w:t>OECD</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37DB2D08" w14:textId="72DA6163" w:rsidR="000062EF" w:rsidRPr="00D04DA2" w:rsidRDefault="000062EF" w:rsidP="00D04DA2">
            <w:pPr>
              <w:spacing w:after="0" w:line="240" w:lineRule="auto"/>
              <w:contextualSpacing/>
              <w:rPr>
                <w:rFonts w:eastAsia="Helvetica" w:cstheme="minorHAnsi"/>
                <w:color w:val="333333"/>
                <w:sz w:val="20"/>
                <w:szCs w:val="20"/>
              </w:rPr>
            </w:pPr>
            <w:r w:rsidRPr="00D04DA2">
              <w:rPr>
                <w:rFonts w:eastAsia="Helvetica" w:cstheme="minorHAnsi"/>
                <w:color w:val="333333"/>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5B540F" w14:textId="708A3746" w:rsidR="000062EF" w:rsidRPr="00D04DA2" w:rsidRDefault="00E00402" w:rsidP="00D04DA2">
            <w:pPr>
              <w:spacing w:after="0" w:line="240" w:lineRule="auto"/>
              <w:contextualSpacing/>
              <w:rPr>
                <w:rFonts w:eastAsia="Helvetica" w:cstheme="minorHAnsi"/>
                <w:color w:val="333333"/>
                <w:sz w:val="20"/>
                <w:szCs w:val="20"/>
              </w:rPr>
            </w:pPr>
            <w:r w:rsidRPr="00D04DA2">
              <w:rPr>
                <w:rFonts w:eastAsia="Helvetica" w:cstheme="minorHAnsi"/>
                <w:color w:val="333333"/>
                <w:sz w:val="20"/>
                <w:szCs w:val="20"/>
              </w:rPr>
              <w:t xml:space="preserve">The indicator is published under OECD’s </w:t>
            </w:r>
            <w:r w:rsidR="00D36ED1" w:rsidRPr="00D04DA2">
              <w:rPr>
                <w:rFonts w:eastAsia="Helvetica" w:cstheme="minorHAnsi"/>
                <w:color w:val="333333"/>
                <w:sz w:val="20"/>
                <w:szCs w:val="20"/>
              </w:rPr>
              <w:t>Tax Administration Series</w:t>
            </w:r>
            <w:r w:rsidR="00853083" w:rsidRPr="00D04DA2">
              <w:rPr>
                <w:rFonts w:eastAsia="Helvetica" w:cstheme="minorHAnsi"/>
                <w:color w:val="333333"/>
                <w:sz w:val="20"/>
                <w:szCs w:val="20"/>
              </w:rPr>
              <w:t xml:space="preserve">. It measures the percentage of </w:t>
            </w:r>
            <w:r w:rsidR="006B313E" w:rsidRPr="00D04DA2">
              <w:rPr>
                <w:rFonts w:eastAsia="Helvetica" w:cstheme="minorHAnsi"/>
                <w:color w:val="333333"/>
                <w:sz w:val="20"/>
                <w:szCs w:val="20"/>
              </w:rPr>
              <w:t xml:space="preserve">electronic payments by </w:t>
            </w:r>
            <w:r w:rsidR="002F64F2" w:rsidRPr="00D04DA2">
              <w:rPr>
                <w:rFonts w:eastAsia="Helvetica" w:cstheme="minorHAnsi"/>
                <w:color w:val="333333"/>
                <w:sz w:val="20"/>
                <w:szCs w:val="20"/>
              </w:rPr>
              <w:t xml:space="preserve">number (i.e., percentage of number of payments received electronically). </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B4C094" w14:textId="43EB3BC1" w:rsidR="000062EF" w:rsidRPr="00D04DA2" w:rsidRDefault="0079376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4CD4CA" w14:textId="43EF8A88" w:rsidR="000062EF" w:rsidRPr="00D04DA2" w:rsidRDefault="0079376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8C4038" w14:textId="144F586A" w:rsidR="000062EF" w:rsidRPr="00D04DA2" w:rsidRDefault="0079376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5</w:t>
            </w:r>
            <w:r w:rsidR="0002724A">
              <w:rPr>
                <w:rFonts w:cstheme="minorHAnsi"/>
                <w:color w:val="000000" w:themeColor="text1"/>
                <w:sz w:val="20"/>
                <w:szCs w:val="20"/>
              </w:rPr>
              <w:t>3</w:t>
            </w:r>
            <w:r w:rsidRPr="00D04DA2">
              <w:rPr>
                <w:rFonts w:cstheme="minorHAnsi"/>
                <w:color w:val="000000" w:themeColor="text1"/>
                <w:sz w:val="20"/>
                <w:szCs w:val="20"/>
              </w:rPr>
              <w:t xml:space="preserve"> economies</w:t>
            </w:r>
          </w:p>
        </w:tc>
        <w:tc>
          <w:tcPr>
            <w:tcW w:w="1418" w:type="dxa"/>
            <w:tcBorders>
              <w:top w:val="single" w:sz="4" w:space="0" w:color="auto"/>
              <w:left w:val="nil"/>
              <w:bottom w:val="single" w:sz="4" w:space="0" w:color="auto"/>
              <w:right w:val="single" w:sz="4" w:space="0" w:color="auto"/>
            </w:tcBorders>
            <w:shd w:val="clear" w:color="auto" w:fill="FFF2CC" w:themeFill="accent4" w:themeFillTint="33"/>
          </w:tcPr>
          <w:p w14:paraId="3E88817B" w14:textId="259109B7" w:rsidR="000062EF" w:rsidRPr="00D04DA2" w:rsidRDefault="0002724A" w:rsidP="00D04DA2">
            <w:pPr>
              <w:spacing w:after="0" w:line="240" w:lineRule="auto"/>
              <w:contextualSpacing/>
              <w:rPr>
                <w:rFonts w:eastAsia="Calibri" w:cstheme="minorHAnsi"/>
                <w:color w:val="000000" w:themeColor="text1"/>
                <w:sz w:val="20"/>
                <w:szCs w:val="20"/>
              </w:rPr>
            </w:pPr>
            <w:r>
              <w:rPr>
                <w:rFonts w:eastAsia="Calibri" w:cstheme="minorHAnsi"/>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DA8FBA" w14:textId="77777777" w:rsidR="000062EF" w:rsidRPr="00D04DA2" w:rsidRDefault="0079376D"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 xml:space="preserve">Every 2 years. </w:t>
            </w:r>
          </w:p>
          <w:p w14:paraId="543C93D5" w14:textId="77777777" w:rsidR="0079376D" w:rsidRPr="00D04DA2" w:rsidRDefault="0079376D" w:rsidP="00D04DA2">
            <w:pPr>
              <w:spacing w:after="0" w:line="240" w:lineRule="auto"/>
              <w:contextualSpacing/>
              <w:rPr>
                <w:rFonts w:eastAsia="Calibri" w:cstheme="minorHAnsi"/>
                <w:color w:val="000000" w:themeColor="text1"/>
                <w:sz w:val="20"/>
                <w:szCs w:val="20"/>
              </w:rPr>
            </w:pPr>
          </w:p>
          <w:p w14:paraId="15DC1D0F" w14:textId="0EB17485" w:rsidR="000062EF" w:rsidRPr="00D04DA2" w:rsidRDefault="0079376D"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The indicator is published for 2016-20</w:t>
            </w:r>
            <w:r w:rsidR="006930C3" w:rsidRPr="00D04DA2">
              <w:rPr>
                <w:rFonts w:eastAsia="Calibri" w:cstheme="minorHAnsi"/>
                <w:color w:val="000000" w:themeColor="text1"/>
                <w:sz w:val="20"/>
                <w:szCs w:val="20"/>
              </w:rPr>
              <w:t>19</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385385F7" w14:textId="27167D32" w:rsidR="000062EF" w:rsidRPr="00D04DA2" w:rsidRDefault="00FA1285" w:rsidP="00D04DA2">
            <w:pPr>
              <w:spacing w:after="0" w:line="240" w:lineRule="auto"/>
              <w:contextualSpacing/>
              <w:rPr>
                <w:rFonts w:cstheme="minorHAnsi"/>
                <w:sz w:val="20"/>
                <w:szCs w:val="20"/>
              </w:rPr>
            </w:pPr>
            <w:hyperlink r:id="rId54" w:history="1">
              <w:r w:rsidR="004119D4" w:rsidRPr="00D04DA2">
                <w:rPr>
                  <w:rStyle w:val="Hyperlink"/>
                  <w:rFonts w:cstheme="minorHAnsi"/>
                  <w:sz w:val="20"/>
                  <w:szCs w:val="20"/>
                </w:rPr>
                <w:t>https://www.oecd.org/tax/administration/tax-administration-23077727.htm</w:t>
              </w:r>
            </w:hyperlink>
            <w:r w:rsidR="004119D4" w:rsidRPr="00D04DA2">
              <w:rPr>
                <w:rFonts w:cstheme="minorHAnsi"/>
                <w:sz w:val="20"/>
                <w:szCs w:val="20"/>
              </w:rPr>
              <w:t xml:space="preserve"> </w:t>
            </w:r>
          </w:p>
        </w:tc>
      </w:tr>
      <w:tr w:rsidR="00912FA5" w:rsidRPr="00D04DA2" w14:paraId="02964012"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1FD2CCD6" w14:textId="3ABFB1B2" w:rsidR="00E5474F" w:rsidRPr="00D04DA2" w:rsidRDefault="001175F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4</w:t>
            </w:r>
            <w:r w:rsidR="00C93770">
              <w:rPr>
                <w:rFonts w:cstheme="minorHAnsi"/>
                <w:color w:val="000000" w:themeColor="text1"/>
                <w:sz w:val="20"/>
                <w:szCs w:val="20"/>
              </w:rPr>
              <w:t>8</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508F419"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89526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762BF670" w14:textId="07D04920" w:rsidR="00E5474F" w:rsidRPr="00D04DA2" w:rsidRDefault="00FD526D" w:rsidP="00D04DA2">
            <w:pPr>
              <w:spacing w:after="0" w:line="240" w:lineRule="auto"/>
              <w:contextualSpacing/>
              <w:rPr>
                <w:rFonts w:eastAsia="Calibri" w:cstheme="minorHAnsi"/>
                <w:color w:val="000000"/>
                <w:sz w:val="20"/>
                <w:szCs w:val="20"/>
              </w:rPr>
            </w:pPr>
            <w:r w:rsidRPr="00D04DA2">
              <w:rPr>
                <w:rFonts w:eastAsia="Calibri" w:cstheme="minorHAnsi"/>
                <w:color w:val="000000" w:themeColor="text1"/>
                <w:sz w:val="20"/>
                <w:szCs w:val="20"/>
              </w:rPr>
              <w:t>Taxes and bureaucracy</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9A149C" w14:textId="2C176CDD" w:rsidR="00E5474F" w:rsidRPr="00D04DA2" w:rsidRDefault="001B7E59" w:rsidP="00D04DA2">
            <w:pPr>
              <w:spacing w:after="0" w:line="240" w:lineRule="auto"/>
              <w:contextualSpacing/>
              <w:rPr>
                <w:rFonts w:eastAsia="Calibri" w:cstheme="minorHAnsi"/>
                <w:sz w:val="20"/>
                <w:szCs w:val="20"/>
              </w:rPr>
            </w:pPr>
            <w:r w:rsidRPr="00D04DA2">
              <w:rPr>
                <w:rFonts w:eastAsia="Calibri" w:cstheme="minorHAnsi"/>
                <w:sz w:val="20"/>
                <w:szCs w:val="20"/>
              </w:rPr>
              <w:t>Scale</w:t>
            </w:r>
            <w:r w:rsidR="00E5474F" w:rsidRPr="00D04DA2">
              <w:rPr>
                <w:rFonts w:eastAsia="Calibri" w:cstheme="minorHAnsi"/>
                <w:sz w:val="20"/>
                <w:szCs w:val="20"/>
              </w:rPr>
              <w:t xml:space="preserve"> of 1</w:t>
            </w:r>
            <w:r w:rsidRPr="00D04DA2">
              <w:rPr>
                <w:rFonts w:eastAsia="Calibri" w:cstheme="minorHAnsi"/>
                <w:sz w:val="20"/>
                <w:szCs w:val="20"/>
              </w:rPr>
              <w:t xml:space="preserve">-9 (where 1 </w:t>
            </w:r>
            <w:r w:rsidR="00986D90" w:rsidRPr="00D04DA2">
              <w:rPr>
                <w:rFonts w:eastAsia="Calibri" w:cstheme="minorHAnsi"/>
                <w:sz w:val="20"/>
                <w:szCs w:val="20"/>
              </w:rPr>
              <w:t>represents</w:t>
            </w:r>
            <w:r w:rsidRPr="00D04DA2">
              <w:rPr>
                <w:rFonts w:eastAsia="Calibri" w:cstheme="minorHAnsi"/>
                <w:sz w:val="20"/>
                <w:szCs w:val="20"/>
              </w:rPr>
              <w:t xml:space="preserve"> </w:t>
            </w:r>
            <w:proofErr w:type="gramStart"/>
            <w:r w:rsidR="00E5474F" w:rsidRPr="00D04DA2">
              <w:rPr>
                <w:rFonts w:eastAsia="Calibri" w:cstheme="minorHAnsi"/>
                <w:sz w:val="20"/>
                <w:szCs w:val="20"/>
              </w:rPr>
              <w:t>completely false</w:t>
            </w:r>
            <w:proofErr w:type="gramEnd"/>
            <w:r w:rsidR="00986D90" w:rsidRPr="00D04DA2">
              <w:rPr>
                <w:rFonts w:eastAsia="Calibri" w:cstheme="minorHAnsi"/>
                <w:sz w:val="20"/>
                <w:szCs w:val="20"/>
              </w:rPr>
              <w:t>;</w:t>
            </w:r>
            <w:r w:rsidRPr="00D04DA2">
              <w:rPr>
                <w:rFonts w:eastAsia="Calibri" w:cstheme="minorHAnsi"/>
                <w:sz w:val="20"/>
                <w:szCs w:val="20"/>
              </w:rPr>
              <w:t xml:space="preserve"> 9 </w:t>
            </w:r>
            <w:r w:rsidR="00986D90" w:rsidRPr="00D04DA2">
              <w:rPr>
                <w:rFonts w:eastAsia="Calibri" w:cstheme="minorHAnsi"/>
                <w:sz w:val="20"/>
                <w:szCs w:val="20"/>
              </w:rPr>
              <w:t>represent</w:t>
            </w:r>
            <w:r w:rsidRPr="00D04DA2">
              <w:rPr>
                <w:rFonts w:eastAsia="Calibri" w:cstheme="minorHAnsi"/>
                <w:sz w:val="20"/>
                <w:szCs w:val="20"/>
              </w:rPr>
              <w:t>s</w:t>
            </w:r>
            <w:r w:rsidR="00986D90" w:rsidRPr="00D04DA2">
              <w:rPr>
                <w:rFonts w:eastAsia="Calibri" w:cstheme="minorHAnsi"/>
                <w:sz w:val="20"/>
                <w:szCs w:val="20"/>
              </w:rPr>
              <w:t xml:space="preserve"> </w:t>
            </w:r>
            <w:r w:rsidR="00E5474F" w:rsidRPr="00D04DA2">
              <w:rPr>
                <w:rFonts w:eastAsia="Calibri" w:cstheme="minorHAnsi"/>
                <w:sz w:val="20"/>
                <w:szCs w:val="20"/>
              </w:rPr>
              <w:t>completely true</w:t>
            </w:r>
            <w:r w:rsidRPr="00D04DA2">
              <w:rPr>
                <w:rFonts w:eastAsia="Calibri" w:cstheme="minorHAnsi"/>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156A22" w14:textId="25C15E4F" w:rsidR="00E5474F" w:rsidRPr="00D04DA2" w:rsidRDefault="00E5474F" w:rsidP="00D04DA2">
            <w:pPr>
              <w:spacing w:after="0" w:line="240" w:lineRule="auto"/>
              <w:contextualSpacing/>
              <w:rPr>
                <w:rFonts w:eastAsia="Calibri" w:cstheme="minorHAnsi"/>
                <w:color w:val="000000"/>
                <w:sz w:val="20"/>
                <w:szCs w:val="20"/>
              </w:rPr>
            </w:pPr>
            <w:r w:rsidRPr="00D04DA2">
              <w:rPr>
                <w:rFonts w:eastAsia="Calibri" w:cstheme="minorHAnsi"/>
                <w:color w:val="000000" w:themeColor="text1"/>
                <w:sz w:val="20"/>
                <w:szCs w:val="20"/>
              </w:rPr>
              <w:t>Global Entrepreneurship Monitor</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41955C70" w14:textId="3ED71497"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081679" w14:textId="4B6EA1B9" w:rsidR="00E5474F" w:rsidRPr="00D04DA2" w:rsidRDefault="00BF397B" w:rsidP="00D04DA2">
            <w:pPr>
              <w:spacing w:after="0" w:line="240" w:lineRule="auto"/>
              <w:contextualSpacing/>
              <w:rPr>
                <w:rFonts w:eastAsia="Calibri" w:cstheme="minorHAnsi"/>
                <w:color w:val="000000"/>
                <w:sz w:val="20"/>
                <w:szCs w:val="20"/>
              </w:rPr>
            </w:pPr>
            <w:r w:rsidRPr="00D04DA2">
              <w:rPr>
                <w:rFonts w:eastAsia="Calibri" w:cstheme="minorHAnsi"/>
                <w:color w:val="000000" w:themeColor="text1"/>
                <w:sz w:val="20"/>
                <w:szCs w:val="20"/>
              </w:rPr>
              <w:t xml:space="preserve">The indicator is part of </w:t>
            </w:r>
            <w:r w:rsidR="00D10353" w:rsidRPr="00D04DA2">
              <w:rPr>
                <w:rFonts w:eastAsia="Calibri" w:cstheme="minorHAnsi"/>
                <w:color w:val="000000" w:themeColor="text1"/>
                <w:sz w:val="20"/>
                <w:szCs w:val="20"/>
              </w:rPr>
              <w:t>the Entrepreneurial Framework Conditions (EFCs)</w:t>
            </w:r>
            <w:r w:rsidRPr="00D04DA2">
              <w:rPr>
                <w:rFonts w:eastAsia="Calibri" w:cstheme="minorHAnsi"/>
                <w:color w:val="000000" w:themeColor="text1"/>
                <w:sz w:val="20"/>
                <w:szCs w:val="20"/>
              </w:rPr>
              <w:t>, published by Global Entrepreneurship M</w:t>
            </w:r>
            <w:r w:rsidR="0093576B" w:rsidRPr="00D04DA2">
              <w:rPr>
                <w:rFonts w:eastAsia="Calibri" w:cstheme="minorHAnsi"/>
                <w:color w:val="000000" w:themeColor="text1"/>
                <w:sz w:val="20"/>
                <w:szCs w:val="20"/>
              </w:rPr>
              <w:t xml:space="preserve">onitor. Taxes and bureaucracy </w:t>
            </w:r>
            <w:r w:rsidR="00B62A79" w:rsidRPr="00D04DA2">
              <w:rPr>
                <w:rFonts w:eastAsia="Calibri" w:cstheme="minorHAnsi"/>
                <w:color w:val="000000" w:themeColor="text1"/>
                <w:sz w:val="20"/>
                <w:szCs w:val="20"/>
              </w:rPr>
              <w:t>indicator</w:t>
            </w:r>
            <w:r w:rsidR="0093576B" w:rsidRPr="00D04DA2">
              <w:rPr>
                <w:rFonts w:eastAsia="Calibri" w:cstheme="minorHAnsi"/>
                <w:color w:val="000000" w:themeColor="text1"/>
                <w:sz w:val="20"/>
                <w:szCs w:val="20"/>
              </w:rPr>
              <w:t xml:space="preserve"> measures the extent to which public policies support entrepreneurship</w:t>
            </w:r>
            <w:r w:rsidR="00B62A79" w:rsidRPr="00D04DA2">
              <w:rPr>
                <w:rFonts w:eastAsia="Calibri" w:cstheme="minorHAnsi"/>
                <w:color w:val="000000" w:themeColor="text1"/>
                <w:sz w:val="20"/>
                <w:szCs w:val="20"/>
              </w:rPr>
              <w:t xml:space="preserve"> – taxes or regulations are either size-neutral or encourage new and SMEs. </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423F4146" w14:textId="2947E28A" w:rsidR="00E5474F" w:rsidRPr="00D04DA2" w:rsidRDefault="0024002C"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52D502" w14:textId="694975F6" w:rsidR="00E5474F" w:rsidRPr="00D04DA2" w:rsidRDefault="00E5474F" w:rsidP="00D04DA2">
            <w:pPr>
              <w:spacing w:after="0" w:line="240" w:lineRule="auto"/>
              <w:contextualSpacing/>
              <w:rPr>
                <w:rFonts w:eastAsia="Calibri" w:cstheme="minorHAnsi"/>
                <w:color w:val="000000"/>
                <w:sz w:val="20"/>
                <w:szCs w:val="20"/>
              </w:rPr>
            </w:pPr>
            <w:r w:rsidRPr="00D04DA2">
              <w:rPr>
                <w:rFonts w:eastAsia="Calibri"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C27847" w14:textId="42FF8CC9" w:rsidR="00E5474F" w:rsidRPr="00D04DA2" w:rsidRDefault="006B7FBE" w:rsidP="00D04DA2">
            <w:pPr>
              <w:spacing w:after="0" w:line="240" w:lineRule="auto"/>
              <w:contextualSpacing/>
              <w:rPr>
                <w:rFonts w:cstheme="minorHAnsi"/>
                <w:color w:val="000000"/>
                <w:sz w:val="20"/>
                <w:szCs w:val="20"/>
              </w:rPr>
            </w:pPr>
            <w:r>
              <w:rPr>
                <w:rFonts w:cstheme="minorHAnsi"/>
                <w:color w:val="000000" w:themeColor="text1"/>
                <w:sz w:val="20"/>
                <w:szCs w:val="20"/>
              </w:rPr>
              <w:t>116</w:t>
            </w:r>
            <w:r w:rsidRPr="00D04DA2">
              <w:rPr>
                <w:rFonts w:cstheme="minorHAnsi"/>
                <w:color w:val="000000" w:themeColor="text1"/>
                <w:sz w:val="20"/>
                <w:szCs w:val="20"/>
              </w:rPr>
              <w:t xml:space="preserve"> </w:t>
            </w:r>
            <w:r w:rsidR="00E5474F" w:rsidRPr="00D04DA2">
              <w:rPr>
                <w:rFonts w:cstheme="minorHAnsi"/>
                <w:color w:val="000000" w:themeColor="text1"/>
                <w:sz w:val="20"/>
                <w:szCs w:val="20"/>
              </w:rPr>
              <w:t>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E60901" w14:textId="320CD514" w:rsidR="00E5474F" w:rsidRPr="00D04DA2" w:rsidRDefault="00EA7E00" w:rsidP="00D04DA2">
            <w:pPr>
              <w:spacing w:after="0" w:line="240" w:lineRule="auto"/>
              <w:contextualSpacing/>
              <w:rPr>
                <w:rFonts w:eastAsia="Calibri" w:cstheme="minorHAnsi"/>
                <w:color w:val="000000" w:themeColor="text1"/>
                <w:sz w:val="20"/>
                <w:szCs w:val="20"/>
              </w:rPr>
            </w:pPr>
            <w:r>
              <w:rPr>
                <w:rFonts w:eastAsia="Calibri" w:cstheme="minorHAnsi"/>
                <w:color w:val="000000" w:themeColor="text1"/>
                <w:sz w:val="20"/>
                <w:szCs w:val="20"/>
              </w:rPr>
              <w:t>9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B3BF63" w14:textId="36C1D9F8" w:rsidR="00E5474F" w:rsidRPr="00D04DA2" w:rsidRDefault="00E5474F" w:rsidP="00D04DA2">
            <w:pPr>
              <w:spacing w:after="0" w:line="240" w:lineRule="auto"/>
              <w:contextualSpacing/>
              <w:rPr>
                <w:rFonts w:eastAsia="Calibri" w:cstheme="minorHAnsi"/>
                <w:color w:val="000000" w:themeColor="text1"/>
                <w:sz w:val="20"/>
                <w:szCs w:val="20"/>
              </w:rPr>
            </w:pPr>
            <w:r w:rsidRPr="00D04DA2">
              <w:rPr>
                <w:rFonts w:eastAsia="Calibri" w:cstheme="minorHAnsi"/>
                <w:color w:val="000000" w:themeColor="text1"/>
                <w:sz w:val="20"/>
                <w:szCs w:val="20"/>
              </w:rPr>
              <w:t>Annual</w:t>
            </w:r>
            <w:r w:rsidR="0071439E" w:rsidRPr="00D04DA2">
              <w:rPr>
                <w:rFonts w:eastAsia="Calibri" w:cstheme="minorHAnsi"/>
                <w:color w:val="000000" w:themeColor="text1"/>
                <w:sz w:val="20"/>
                <w:szCs w:val="20"/>
              </w:rPr>
              <w:t>.</w:t>
            </w:r>
          </w:p>
          <w:p w14:paraId="0308F22F" w14:textId="77777777" w:rsidR="0024002C" w:rsidRPr="00D04DA2" w:rsidRDefault="0024002C" w:rsidP="00D04DA2">
            <w:pPr>
              <w:spacing w:after="0" w:line="240" w:lineRule="auto"/>
              <w:contextualSpacing/>
              <w:rPr>
                <w:rFonts w:eastAsia="Calibri" w:cstheme="minorHAnsi"/>
                <w:color w:val="000000" w:themeColor="text1"/>
                <w:sz w:val="20"/>
                <w:szCs w:val="20"/>
              </w:rPr>
            </w:pPr>
          </w:p>
          <w:p w14:paraId="4E8D31BB" w14:textId="4FA85165" w:rsidR="00E5474F" w:rsidRPr="00D04DA2" w:rsidRDefault="0024002C" w:rsidP="00D04DA2">
            <w:pPr>
              <w:spacing w:after="0" w:line="240" w:lineRule="auto"/>
              <w:contextualSpacing/>
              <w:rPr>
                <w:rFonts w:eastAsia="Calibri" w:cstheme="minorHAnsi"/>
                <w:color w:val="000000"/>
                <w:sz w:val="20"/>
                <w:szCs w:val="20"/>
              </w:rPr>
            </w:pPr>
            <w:r w:rsidRPr="00D04DA2">
              <w:rPr>
                <w:rFonts w:eastAsia="Calibri" w:cstheme="minorHAnsi"/>
                <w:color w:val="000000" w:themeColor="text1"/>
                <w:sz w:val="20"/>
                <w:szCs w:val="20"/>
              </w:rPr>
              <w:t xml:space="preserve">The indicator is published for 2000-2020. </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19B9A907" w14:textId="30C5BF2C" w:rsidR="00E5474F" w:rsidRPr="00D04DA2" w:rsidRDefault="00FA1285" w:rsidP="00D04DA2">
            <w:pPr>
              <w:spacing w:after="0" w:line="240" w:lineRule="auto"/>
              <w:contextualSpacing/>
              <w:rPr>
                <w:rFonts w:cstheme="minorHAnsi"/>
                <w:sz w:val="20"/>
                <w:szCs w:val="20"/>
              </w:rPr>
            </w:pPr>
            <w:hyperlink r:id="rId55" w:history="1">
              <w:r w:rsidR="00C75607" w:rsidRPr="00D04DA2">
                <w:rPr>
                  <w:rStyle w:val="Hyperlink"/>
                  <w:rFonts w:cstheme="minorHAnsi"/>
                  <w:sz w:val="20"/>
                  <w:szCs w:val="20"/>
                </w:rPr>
                <w:t>https://www.gemconsortium.org/data/key-nes</w:t>
              </w:r>
            </w:hyperlink>
            <w:r w:rsidR="00C75607" w:rsidRPr="00D04DA2">
              <w:rPr>
                <w:rFonts w:cstheme="minorHAnsi"/>
                <w:sz w:val="20"/>
                <w:szCs w:val="20"/>
              </w:rPr>
              <w:t xml:space="preserve"> </w:t>
            </w:r>
          </w:p>
        </w:tc>
      </w:tr>
      <w:tr w:rsidR="00912FA5" w:rsidRPr="00D04DA2" w14:paraId="51144482"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5924B3CD" w14:textId="46598835" w:rsidR="00E5474F" w:rsidRPr="00D04DA2" w:rsidRDefault="00C93770" w:rsidP="00D04DA2">
            <w:pPr>
              <w:spacing w:after="0" w:line="240" w:lineRule="auto"/>
              <w:contextualSpacing/>
              <w:rPr>
                <w:rFonts w:cstheme="minorHAnsi"/>
                <w:color w:val="000000"/>
                <w:sz w:val="20"/>
                <w:szCs w:val="20"/>
              </w:rPr>
            </w:pPr>
            <w:r>
              <w:rPr>
                <w:rFonts w:cstheme="minorHAnsi"/>
                <w:color w:val="000000" w:themeColor="text1"/>
                <w:sz w:val="20"/>
                <w:szCs w:val="20"/>
              </w:rPr>
              <w:t>49</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7012A154"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Paying taxes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C40CE7"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1D2FB749"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International tax competitiveness index</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362729" w14:textId="0DA7881B" w:rsidR="00E5474F" w:rsidRPr="00D04DA2" w:rsidRDefault="00933555"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Score between </w:t>
            </w:r>
            <w:r w:rsidR="008067F2" w:rsidRPr="00D04DA2">
              <w:rPr>
                <w:rFonts w:cstheme="minorHAnsi"/>
                <w:color w:val="000000"/>
                <w:sz w:val="20"/>
                <w:szCs w:val="20"/>
              </w:rPr>
              <w:t xml:space="preserve">0-100 (where 100 indicates the best performance among </w:t>
            </w:r>
            <w:r w:rsidR="00AB6095" w:rsidRPr="00D04DA2">
              <w:rPr>
                <w:rFonts w:cstheme="minorHAnsi"/>
                <w:color w:val="000000"/>
                <w:sz w:val="20"/>
                <w:szCs w:val="20"/>
              </w:rPr>
              <w:t>36 OECD countries)</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8926F6" w14:textId="233929FF"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Tax </w:t>
            </w:r>
            <w:r w:rsidR="00BB50CA" w:rsidRPr="00D04DA2">
              <w:rPr>
                <w:rFonts w:cstheme="minorHAnsi"/>
                <w:color w:val="000000"/>
                <w:sz w:val="20"/>
                <w:szCs w:val="20"/>
              </w:rPr>
              <w:t>F</w:t>
            </w:r>
            <w:r w:rsidRPr="00D04DA2">
              <w:rPr>
                <w:rFonts w:cstheme="minorHAnsi"/>
                <w:color w:val="000000"/>
                <w:sz w:val="20"/>
                <w:szCs w:val="20"/>
              </w:rPr>
              <w:t>oundation</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0AA887C2" w14:textId="064BCCCD"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6CCF86"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International Tax Competitiveness Index (ITCI) seeks to measure the extent to which a country’s tax system adheres to two important aspects of tax policy: competitiveness and neutrality.</w:t>
            </w:r>
          </w:p>
          <w:p w14:paraId="39EF0DD1" w14:textId="77777777" w:rsidR="00E2798A" w:rsidRPr="00D04DA2" w:rsidRDefault="00E2798A" w:rsidP="00D04DA2">
            <w:pPr>
              <w:spacing w:after="0" w:line="240" w:lineRule="auto"/>
              <w:contextualSpacing/>
              <w:rPr>
                <w:rFonts w:cstheme="minorHAnsi"/>
                <w:color w:val="000000" w:themeColor="text1"/>
                <w:sz w:val="20"/>
                <w:szCs w:val="20"/>
              </w:rPr>
            </w:pPr>
          </w:p>
          <w:p w14:paraId="2F6254C5" w14:textId="6DBE55D0"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 competitive tax code is one that keeps marginal tax rates low. In today’s globalized world, capital is highly mobile. Businesses can choose to invest in any number of countries throughout the world to find the highest rate of return. This means that businesses will look for countries with lower tax rates on investment to maximize their after-tax rate of return. If a country’s tax rate is too high, it will drive investment elsewhere, leading to slower economic growth. In addition, high marginal tax rates can lead to tax avoidance.</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60B4509D" w14:textId="643DEBA2" w:rsidR="00E5474F" w:rsidRPr="00D04DA2" w:rsidRDefault="003F37DE"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9BA53F" w14:textId="75261CDD" w:rsidR="00985B1A" w:rsidRPr="00D04DA2" w:rsidRDefault="00985B1A" w:rsidP="00D04DA2">
            <w:pPr>
              <w:spacing w:after="0" w:line="240" w:lineRule="auto"/>
              <w:contextualSpacing/>
              <w:rPr>
                <w:rFonts w:cstheme="minorHAnsi"/>
                <w:color w:val="000000"/>
                <w:sz w:val="20"/>
                <w:szCs w:val="20"/>
              </w:rPr>
            </w:pPr>
            <w:r w:rsidRPr="00D04DA2">
              <w:rPr>
                <w:rFonts w:cstheme="minorHAnsi"/>
                <w:color w:val="000000"/>
                <w:sz w:val="20"/>
                <w:szCs w:val="20"/>
              </w:rPr>
              <w:t>Regional</w:t>
            </w:r>
          </w:p>
          <w:p w14:paraId="6A5AE49A" w14:textId="57DAE9CA" w:rsidR="00E5474F" w:rsidRPr="00D04DA2" w:rsidRDefault="00985B1A" w:rsidP="00D04DA2">
            <w:pPr>
              <w:spacing w:after="0" w:line="240" w:lineRule="auto"/>
              <w:contextualSpacing/>
              <w:rPr>
                <w:rFonts w:cstheme="minorHAnsi"/>
                <w:color w:val="000000"/>
                <w:sz w:val="20"/>
                <w:szCs w:val="20"/>
              </w:rPr>
            </w:pPr>
            <w:r w:rsidRPr="00D04DA2">
              <w:rPr>
                <w:rFonts w:cstheme="minorHAnsi"/>
                <w:color w:val="000000"/>
                <w:sz w:val="20"/>
                <w:szCs w:val="20"/>
              </w:rPr>
              <w:t>(</w:t>
            </w:r>
            <w:r w:rsidR="00E5474F" w:rsidRPr="00D04DA2">
              <w:rPr>
                <w:rFonts w:cstheme="minorHAnsi"/>
                <w:color w:val="000000"/>
                <w:sz w:val="20"/>
                <w:szCs w:val="20"/>
              </w:rPr>
              <w:t>OECD</w:t>
            </w:r>
            <w:r w:rsidRPr="00D04DA2">
              <w:rPr>
                <w:rFonts w:cstheme="minorHAns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00DC62"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36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B8AFD9" w14:textId="482E6DDF" w:rsidR="00E5474F" w:rsidRPr="00D04DA2" w:rsidRDefault="0002724A" w:rsidP="00D04DA2">
            <w:pPr>
              <w:spacing w:after="0" w:line="240" w:lineRule="auto"/>
              <w:contextualSpacing/>
              <w:rPr>
                <w:rFonts w:cstheme="minorHAnsi"/>
                <w:color w:val="000000"/>
                <w:sz w:val="20"/>
                <w:szCs w:val="20"/>
              </w:rPr>
            </w:pPr>
            <w:r>
              <w:rPr>
                <w:rFonts w:cstheme="minorHAns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37CFE9" w14:textId="443F8C14" w:rsidR="00DE1584" w:rsidRPr="00D04DA2" w:rsidRDefault="00DE158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Annual</w:t>
            </w:r>
            <w:r w:rsidR="0071439E" w:rsidRPr="00D04DA2">
              <w:rPr>
                <w:rFonts w:cstheme="minorHAnsi"/>
                <w:color w:val="000000" w:themeColor="text1"/>
                <w:sz w:val="20"/>
                <w:szCs w:val="20"/>
              </w:rPr>
              <w:t>.</w:t>
            </w:r>
          </w:p>
          <w:p w14:paraId="308EA342" w14:textId="51AB6776" w:rsidR="00DE1584" w:rsidRPr="00D04DA2" w:rsidRDefault="00DE1584" w:rsidP="00D04DA2">
            <w:pPr>
              <w:spacing w:after="0" w:line="240" w:lineRule="auto"/>
              <w:contextualSpacing/>
              <w:rPr>
                <w:rFonts w:cstheme="minorHAnsi"/>
                <w:color w:val="000000"/>
                <w:sz w:val="20"/>
                <w:szCs w:val="20"/>
              </w:rPr>
            </w:pPr>
          </w:p>
          <w:p w14:paraId="08137FC9" w14:textId="69229055" w:rsidR="00E5474F" w:rsidRPr="00D04DA2" w:rsidRDefault="00BB50CA"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The indicator is published for </w:t>
            </w:r>
            <w:r w:rsidR="00E5474F" w:rsidRPr="00D04DA2">
              <w:rPr>
                <w:rFonts w:cstheme="minorHAnsi"/>
                <w:color w:val="000000" w:themeColor="text1"/>
                <w:sz w:val="20"/>
                <w:szCs w:val="20"/>
              </w:rPr>
              <w:t>2014-2020</w:t>
            </w:r>
            <w:r w:rsidR="0071439E"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6F19EFE0"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https://taxfoundation.org/publications/international-tax-competitiveness-index/</w:t>
            </w:r>
          </w:p>
        </w:tc>
      </w:tr>
      <w:tr w:rsidR="00500C09" w:rsidRPr="00D04DA2" w14:paraId="1B6CAC8B"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2BEB201A" w14:textId="56EC8073" w:rsidR="00E5474F" w:rsidRPr="00D04DA2" w:rsidRDefault="4E1BF8C6"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5</w:t>
            </w:r>
            <w:r w:rsidR="00C93770">
              <w:rPr>
                <w:rFonts w:cstheme="minorHAnsi"/>
                <w:color w:val="000000" w:themeColor="text1"/>
                <w:sz w:val="20"/>
                <w:szCs w:val="20"/>
              </w:rPr>
              <w:t>0</w:t>
            </w:r>
          </w:p>
        </w:tc>
        <w:tc>
          <w:tcPr>
            <w:tcW w:w="1341" w:type="dxa"/>
            <w:tcBorders>
              <w:top w:val="single" w:sz="4" w:space="0" w:color="auto"/>
              <w:left w:val="single" w:sz="4" w:space="0" w:color="auto"/>
              <w:bottom w:val="single" w:sz="4" w:space="0" w:color="auto"/>
              <w:right w:val="nil"/>
            </w:tcBorders>
            <w:shd w:val="clear" w:color="auto" w:fill="auto"/>
          </w:tcPr>
          <w:p w14:paraId="763B6114"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Trading across borders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F084216"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ADC2FB7" w14:textId="55831598"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Trade Facilitation Indicators</w:t>
            </w:r>
            <w:r w:rsidR="00E37836" w:rsidRPr="00D04DA2">
              <w:rPr>
                <w:rFonts w:cstheme="minorHAnsi"/>
                <w:color w:val="000000" w:themeColor="text1"/>
                <w:sz w:val="20"/>
                <w:szCs w:val="20"/>
              </w:rPr>
              <w:t xml:space="preserve"> </w:t>
            </w:r>
            <w:r w:rsidR="006934A9" w:rsidRPr="00D04DA2">
              <w:rPr>
                <w:rFonts w:cstheme="minorHAnsi"/>
                <w:color w:val="000000" w:themeColor="text1"/>
                <w:sz w:val="20"/>
                <w:szCs w:val="20"/>
              </w:rPr>
              <w:t>(TFIs)</w:t>
            </w:r>
            <w:r w:rsidR="00D64613" w:rsidRPr="00D04DA2">
              <w:rPr>
                <w:rFonts w:cstheme="minorHAnsi"/>
                <w:color w:val="000000" w:themeColor="text1"/>
                <w:sz w:val="20"/>
                <w:szCs w:val="20"/>
              </w:rPr>
              <w:t xml:space="preserve"> score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1F64A2" w14:textId="482CEF9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Score </w:t>
            </w:r>
            <w:r w:rsidR="00DB1637" w:rsidRPr="00D04DA2">
              <w:rPr>
                <w:rFonts w:cstheme="minorHAnsi"/>
                <w:color w:val="000000" w:themeColor="text1"/>
                <w:sz w:val="20"/>
                <w:szCs w:val="20"/>
              </w:rPr>
              <w:t>of</w:t>
            </w:r>
            <w:r w:rsidR="00F26209" w:rsidRPr="00D04DA2">
              <w:rPr>
                <w:rFonts w:cstheme="minorHAnsi"/>
                <w:color w:val="000000" w:themeColor="text1"/>
                <w:sz w:val="20"/>
                <w:szCs w:val="20"/>
              </w:rPr>
              <w:t xml:space="preserve"> 0</w:t>
            </w:r>
            <w:r w:rsidR="00DB1637" w:rsidRPr="00D04DA2">
              <w:rPr>
                <w:rFonts w:cstheme="minorHAnsi"/>
                <w:color w:val="000000" w:themeColor="text1"/>
                <w:sz w:val="20"/>
                <w:szCs w:val="20"/>
              </w:rPr>
              <w:t>-</w:t>
            </w:r>
            <w:r w:rsidR="00F26209" w:rsidRPr="00D04DA2">
              <w:rPr>
                <w:rFonts w:cstheme="minorHAnsi"/>
                <w:color w:val="000000" w:themeColor="text1"/>
                <w:sz w:val="20"/>
                <w:szCs w:val="20"/>
              </w:rPr>
              <w:t>2</w:t>
            </w:r>
            <w:r w:rsidR="00D34879" w:rsidRPr="00D04DA2">
              <w:rPr>
                <w:rFonts w:cstheme="minorHAnsi"/>
                <w:color w:val="000000" w:themeColor="text1"/>
                <w:sz w:val="20"/>
                <w:szCs w:val="20"/>
              </w:rPr>
              <w:t xml:space="preserve"> (</w:t>
            </w:r>
            <w:r w:rsidR="00F26209" w:rsidRPr="00D04DA2">
              <w:rPr>
                <w:rFonts w:cstheme="minorHAnsi"/>
                <w:color w:val="000000" w:themeColor="text1"/>
                <w:sz w:val="20"/>
                <w:szCs w:val="20"/>
              </w:rPr>
              <w:t xml:space="preserve">where 2 </w:t>
            </w:r>
            <w:r w:rsidR="00D34879" w:rsidRPr="00D04DA2">
              <w:rPr>
                <w:rFonts w:cstheme="minorHAnsi"/>
                <w:color w:val="000000" w:themeColor="text1"/>
                <w:sz w:val="20"/>
                <w:szCs w:val="20"/>
              </w:rPr>
              <w:t xml:space="preserve">represents </w:t>
            </w:r>
            <w:r w:rsidR="00F26209" w:rsidRPr="00D04DA2">
              <w:rPr>
                <w:rFonts w:cstheme="minorHAnsi"/>
                <w:color w:val="000000" w:themeColor="text1"/>
                <w:sz w:val="20"/>
                <w:szCs w:val="20"/>
              </w:rPr>
              <w:t>best performance</w:t>
            </w:r>
            <w:r w:rsidR="002418CE" w:rsidRPr="00D04DA2">
              <w:rPr>
                <w:rFonts w:cstheme="minorHAnsi"/>
                <w:color w:val="000000" w:themeColor="text1"/>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B647CE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OECD</w:t>
            </w:r>
          </w:p>
        </w:tc>
        <w:tc>
          <w:tcPr>
            <w:tcW w:w="1341" w:type="dxa"/>
            <w:tcBorders>
              <w:top w:val="single" w:sz="4" w:space="0" w:color="auto"/>
              <w:left w:val="nil"/>
              <w:bottom w:val="single" w:sz="4" w:space="0" w:color="auto"/>
              <w:right w:val="single" w:sz="4" w:space="0" w:color="auto"/>
            </w:tcBorders>
            <w:shd w:val="clear" w:color="auto" w:fill="auto"/>
          </w:tcPr>
          <w:p w14:paraId="0919ADC0" w14:textId="24FC8E9E"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Public sector organization </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38AC235" w14:textId="77777777" w:rsidR="00793BF1"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OECD TFIs benchmark and assess border procedures and the implementation of trade facilitation through twelve indicators, namely:</w:t>
            </w:r>
          </w:p>
          <w:p w14:paraId="71DED2E0" w14:textId="2ABCAAF9"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i</w:t>
            </w:r>
            <w:r w:rsidR="00E5474F" w:rsidRPr="00D04DA2">
              <w:rPr>
                <w:rFonts w:cstheme="minorHAnsi"/>
                <w:color w:val="000000" w:themeColor="text1"/>
                <w:sz w:val="20"/>
                <w:szCs w:val="20"/>
              </w:rPr>
              <w:t>nformation availability</w:t>
            </w:r>
          </w:p>
          <w:p w14:paraId="61BD4FBC" w14:textId="427FB5F9"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i</w:t>
            </w:r>
            <w:r w:rsidR="00E5474F" w:rsidRPr="00D04DA2">
              <w:rPr>
                <w:rFonts w:cstheme="minorHAnsi"/>
                <w:color w:val="000000" w:themeColor="text1"/>
                <w:sz w:val="20"/>
                <w:szCs w:val="20"/>
              </w:rPr>
              <w:t>nvolvement of the trade community</w:t>
            </w:r>
          </w:p>
          <w:p w14:paraId="79D7C136" w14:textId="690392BB"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a</w:t>
            </w:r>
            <w:r w:rsidR="00E5474F" w:rsidRPr="00D04DA2">
              <w:rPr>
                <w:rFonts w:cstheme="minorHAnsi"/>
                <w:color w:val="000000" w:themeColor="text1"/>
                <w:sz w:val="20"/>
                <w:szCs w:val="20"/>
              </w:rPr>
              <w:t>dvance rulings</w:t>
            </w:r>
          </w:p>
          <w:p w14:paraId="2804A8CB" w14:textId="58F9D65F"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a</w:t>
            </w:r>
            <w:r w:rsidR="00E5474F" w:rsidRPr="00D04DA2">
              <w:rPr>
                <w:rFonts w:cstheme="minorHAnsi"/>
                <w:color w:val="000000" w:themeColor="text1"/>
                <w:sz w:val="20"/>
                <w:szCs w:val="20"/>
              </w:rPr>
              <w:t xml:space="preserve">ppeal procedures </w:t>
            </w:r>
          </w:p>
          <w:p w14:paraId="6DB91765" w14:textId="4275317A"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f</w:t>
            </w:r>
            <w:r w:rsidR="00E5474F" w:rsidRPr="00D04DA2">
              <w:rPr>
                <w:rFonts w:cstheme="minorHAnsi"/>
                <w:color w:val="000000" w:themeColor="text1"/>
                <w:sz w:val="20"/>
                <w:szCs w:val="20"/>
              </w:rPr>
              <w:t>ees and charges</w:t>
            </w:r>
          </w:p>
          <w:p w14:paraId="683A2270" w14:textId="51B61908"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lastRenderedPageBreak/>
              <w:t>d</w:t>
            </w:r>
            <w:r w:rsidR="00E5474F" w:rsidRPr="00D04DA2">
              <w:rPr>
                <w:rFonts w:cstheme="minorHAnsi"/>
                <w:color w:val="000000" w:themeColor="text1"/>
                <w:sz w:val="20"/>
                <w:szCs w:val="20"/>
              </w:rPr>
              <w:t>ocuments</w:t>
            </w:r>
          </w:p>
          <w:p w14:paraId="49EBF245" w14:textId="3582D03D"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a</w:t>
            </w:r>
            <w:r w:rsidR="00E5474F" w:rsidRPr="00D04DA2">
              <w:rPr>
                <w:rFonts w:cstheme="minorHAnsi"/>
                <w:color w:val="000000" w:themeColor="text1"/>
                <w:sz w:val="20"/>
                <w:szCs w:val="20"/>
              </w:rPr>
              <w:t>utomation</w:t>
            </w:r>
          </w:p>
          <w:p w14:paraId="3F4E753F" w14:textId="222A218B"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p</w:t>
            </w:r>
            <w:r w:rsidR="00E5474F" w:rsidRPr="00D04DA2">
              <w:rPr>
                <w:rFonts w:cstheme="minorHAnsi"/>
                <w:color w:val="000000" w:themeColor="text1"/>
                <w:sz w:val="20"/>
                <w:szCs w:val="20"/>
              </w:rPr>
              <w:t>rocedures</w:t>
            </w:r>
          </w:p>
          <w:p w14:paraId="1B4778F3" w14:textId="7AFE20DB"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i</w:t>
            </w:r>
            <w:r w:rsidR="00E5474F" w:rsidRPr="00D04DA2">
              <w:rPr>
                <w:rFonts w:cstheme="minorHAnsi"/>
                <w:color w:val="000000" w:themeColor="text1"/>
                <w:sz w:val="20"/>
                <w:szCs w:val="20"/>
              </w:rPr>
              <w:t>nternal border agency cooperation</w:t>
            </w:r>
          </w:p>
          <w:p w14:paraId="6DC5358E" w14:textId="7EA2C9DC"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e</w:t>
            </w:r>
            <w:r w:rsidR="00E5474F" w:rsidRPr="00D04DA2">
              <w:rPr>
                <w:rFonts w:cstheme="minorHAnsi"/>
                <w:color w:val="000000" w:themeColor="text1"/>
                <w:sz w:val="20"/>
                <w:szCs w:val="20"/>
              </w:rPr>
              <w:t>xternal border agency cooperation</w:t>
            </w:r>
          </w:p>
          <w:p w14:paraId="152DBAE4" w14:textId="797F5F1A" w:rsidR="00793BF1" w:rsidRPr="00D04DA2" w:rsidRDefault="00793BF1"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g</w:t>
            </w:r>
            <w:r w:rsidR="00E5474F" w:rsidRPr="00D04DA2">
              <w:rPr>
                <w:rFonts w:cstheme="minorHAnsi"/>
                <w:color w:val="000000" w:themeColor="text1"/>
                <w:sz w:val="20"/>
                <w:szCs w:val="20"/>
              </w:rPr>
              <w:t>overnance</w:t>
            </w:r>
          </w:p>
          <w:p w14:paraId="392B58D2" w14:textId="70CC8294" w:rsidR="00E5474F" w:rsidRPr="00D04DA2" w:rsidRDefault="00E5474F" w:rsidP="00D04DA2">
            <w:pPr>
              <w:pStyle w:val="ListParagraph"/>
              <w:numPr>
                <w:ilvl w:val="0"/>
                <w:numId w:val="9"/>
              </w:numPr>
              <w:spacing w:after="0" w:line="240" w:lineRule="auto"/>
              <w:rPr>
                <w:rFonts w:cstheme="minorHAnsi"/>
                <w:color w:val="000000"/>
                <w:sz w:val="20"/>
                <w:szCs w:val="20"/>
              </w:rPr>
            </w:pPr>
            <w:r w:rsidRPr="00D04DA2">
              <w:rPr>
                <w:rFonts w:cstheme="minorHAnsi"/>
                <w:color w:val="000000" w:themeColor="text1"/>
                <w:sz w:val="20"/>
                <w:szCs w:val="20"/>
              </w:rPr>
              <w:t xml:space="preserve">impartiality </w:t>
            </w:r>
          </w:p>
        </w:tc>
        <w:tc>
          <w:tcPr>
            <w:tcW w:w="1485" w:type="dxa"/>
            <w:tcBorders>
              <w:top w:val="single" w:sz="4" w:space="0" w:color="auto"/>
              <w:left w:val="nil"/>
              <w:bottom w:val="single" w:sz="4" w:space="0" w:color="auto"/>
              <w:right w:val="single" w:sz="4" w:space="0" w:color="auto"/>
            </w:tcBorders>
          </w:tcPr>
          <w:p w14:paraId="72D6CD4A" w14:textId="0194B343" w:rsidR="00E5474F" w:rsidRPr="00D04DA2" w:rsidRDefault="00AE794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lastRenderedPageBreak/>
              <w:t>Policy metrics</w:t>
            </w:r>
            <w:r w:rsidR="0002079A"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EFB415C" w14:textId="6AF92394"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0754CB" w14:textId="60C8D049"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16</w:t>
            </w:r>
            <w:r w:rsidR="00896DE0" w:rsidRPr="00D04DA2">
              <w:rPr>
                <w:rFonts w:cstheme="minorHAnsi"/>
                <w:color w:val="000000" w:themeColor="text1"/>
                <w:sz w:val="20"/>
                <w:szCs w:val="20"/>
              </w:rPr>
              <w:t>4</w:t>
            </w:r>
            <w:r w:rsidR="00496E94">
              <w:rPr>
                <w:rFonts w:cstheme="minorHAnsi"/>
                <w:color w:val="000000" w:themeColor="text1"/>
                <w:sz w:val="20"/>
                <w:szCs w:val="20"/>
              </w:rPr>
              <w:t xml:space="preserve"> </w:t>
            </w:r>
            <w:r w:rsidRPr="00D04DA2">
              <w:rPr>
                <w:rFonts w:cstheme="minorHAnsi"/>
                <w:color w:val="000000" w:themeColor="text1"/>
                <w:sz w:val="20"/>
                <w:szCs w:val="20"/>
              </w:rPr>
              <w:t>economies</w:t>
            </w:r>
          </w:p>
        </w:tc>
        <w:tc>
          <w:tcPr>
            <w:tcW w:w="1418" w:type="dxa"/>
            <w:tcBorders>
              <w:top w:val="single" w:sz="4" w:space="0" w:color="auto"/>
              <w:left w:val="single" w:sz="4" w:space="0" w:color="auto"/>
              <w:bottom w:val="single" w:sz="4" w:space="0" w:color="auto"/>
              <w:right w:val="single" w:sz="4" w:space="0" w:color="auto"/>
            </w:tcBorders>
          </w:tcPr>
          <w:p w14:paraId="70DABAB7" w14:textId="02B2AAC2" w:rsidR="00E5474F" w:rsidRPr="00D04DA2" w:rsidRDefault="00042B86"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19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71FEC5" w14:textId="77777777" w:rsidR="001D270B" w:rsidRPr="00D04DA2" w:rsidRDefault="00AA4CA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Every 2 years</w:t>
            </w:r>
            <w:r w:rsidR="00AD5925" w:rsidRPr="00D04DA2">
              <w:rPr>
                <w:rFonts w:cstheme="minorHAnsi"/>
                <w:color w:val="000000" w:themeColor="text1"/>
                <w:sz w:val="20"/>
                <w:szCs w:val="20"/>
              </w:rPr>
              <w:t>.</w:t>
            </w:r>
          </w:p>
          <w:p w14:paraId="4A372B35" w14:textId="77777777" w:rsidR="00FA0425" w:rsidRPr="00D04DA2" w:rsidRDefault="00FA0425" w:rsidP="00D04DA2">
            <w:pPr>
              <w:spacing w:after="0" w:line="240" w:lineRule="auto"/>
              <w:contextualSpacing/>
              <w:rPr>
                <w:rFonts w:cstheme="minorHAnsi"/>
                <w:color w:val="000000" w:themeColor="text1"/>
                <w:sz w:val="20"/>
                <w:szCs w:val="20"/>
              </w:rPr>
            </w:pPr>
          </w:p>
          <w:p w14:paraId="6C4CB893" w14:textId="5ECC0916" w:rsidR="00E5474F" w:rsidRPr="00D04DA2" w:rsidRDefault="001D270B"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is published for 2017 and 2019.</w:t>
            </w:r>
          </w:p>
        </w:tc>
        <w:tc>
          <w:tcPr>
            <w:tcW w:w="1664" w:type="dxa"/>
            <w:tcBorders>
              <w:top w:val="single" w:sz="4" w:space="0" w:color="auto"/>
              <w:left w:val="nil"/>
              <w:bottom w:val="single" w:sz="4" w:space="0" w:color="auto"/>
              <w:right w:val="single" w:sz="4" w:space="0" w:color="auto"/>
            </w:tcBorders>
            <w:shd w:val="clear" w:color="auto" w:fill="auto"/>
          </w:tcPr>
          <w:p w14:paraId="5651CE85"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https://www.oecd.org/trade/topics/trade-facilitation/</w:t>
            </w:r>
          </w:p>
        </w:tc>
      </w:tr>
      <w:tr w:rsidR="00500C09" w:rsidRPr="00D04DA2" w14:paraId="4007C7CA"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33241D60" w14:textId="45E7E580" w:rsidR="00E5474F" w:rsidRPr="00D04DA2" w:rsidRDefault="4E1BF8C6"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5</w:t>
            </w:r>
            <w:r w:rsidR="00C93770">
              <w:rPr>
                <w:rFonts w:cstheme="minorHAnsi"/>
                <w:color w:val="000000" w:themeColor="text1"/>
                <w:sz w:val="20"/>
                <w:szCs w:val="20"/>
              </w:rPr>
              <w:t>1</w:t>
            </w:r>
          </w:p>
        </w:tc>
        <w:tc>
          <w:tcPr>
            <w:tcW w:w="1341" w:type="dxa"/>
            <w:tcBorders>
              <w:top w:val="single" w:sz="4" w:space="0" w:color="auto"/>
              <w:left w:val="single" w:sz="4" w:space="0" w:color="auto"/>
              <w:bottom w:val="single" w:sz="4" w:space="0" w:color="auto"/>
              <w:right w:val="nil"/>
            </w:tcBorders>
            <w:shd w:val="clear" w:color="auto" w:fill="auto"/>
          </w:tcPr>
          <w:p w14:paraId="0B87AD4A"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Trading across borders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F0FB94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49450C33" w14:textId="5686103F"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Logistics Performance Index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F1EE25" w14:textId="04431DE8"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Score </w:t>
            </w:r>
            <w:r w:rsidR="00793BF1" w:rsidRPr="00D04DA2">
              <w:rPr>
                <w:rFonts w:cstheme="minorHAnsi"/>
                <w:color w:val="000000" w:themeColor="text1"/>
                <w:sz w:val="20"/>
                <w:szCs w:val="20"/>
              </w:rPr>
              <w:t>of</w:t>
            </w:r>
            <w:r w:rsidR="00E12ADF" w:rsidRPr="00D04DA2">
              <w:rPr>
                <w:rFonts w:cstheme="minorHAnsi"/>
                <w:color w:val="000000" w:themeColor="text1"/>
                <w:sz w:val="20"/>
                <w:szCs w:val="20"/>
              </w:rPr>
              <w:t xml:space="preserve"> 1</w:t>
            </w:r>
            <w:r w:rsidR="00793BF1" w:rsidRPr="00D04DA2">
              <w:rPr>
                <w:rFonts w:cstheme="minorHAnsi"/>
                <w:color w:val="000000" w:themeColor="text1"/>
                <w:sz w:val="20"/>
                <w:szCs w:val="20"/>
              </w:rPr>
              <w:t>-</w:t>
            </w:r>
            <w:r w:rsidR="00E12ADF" w:rsidRPr="00D04DA2">
              <w:rPr>
                <w:rFonts w:cstheme="minorHAnsi"/>
                <w:color w:val="000000" w:themeColor="text1"/>
                <w:sz w:val="20"/>
                <w:szCs w:val="20"/>
              </w:rPr>
              <w:t>5</w:t>
            </w:r>
            <w:r w:rsidR="00D34879" w:rsidRPr="00D04DA2">
              <w:rPr>
                <w:rFonts w:cstheme="minorHAnsi"/>
                <w:color w:val="000000" w:themeColor="text1"/>
                <w:sz w:val="20"/>
                <w:szCs w:val="20"/>
              </w:rPr>
              <w:t xml:space="preserve"> (</w:t>
            </w:r>
            <w:r w:rsidR="00502AE8" w:rsidRPr="00D04DA2">
              <w:rPr>
                <w:rFonts w:cstheme="minorHAnsi"/>
                <w:color w:val="000000" w:themeColor="text1"/>
                <w:sz w:val="20"/>
                <w:szCs w:val="20"/>
              </w:rPr>
              <w:t xml:space="preserve">where </w:t>
            </w:r>
            <w:r w:rsidR="006703EF" w:rsidRPr="00D04DA2">
              <w:rPr>
                <w:rFonts w:cstheme="minorHAnsi"/>
                <w:color w:val="000000" w:themeColor="text1"/>
                <w:sz w:val="20"/>
                <w:szCs w:val="20"/>
              </w:rPr>
              <w:t>1</w:t>
            </w:r>
            <w:r w:rsidR="00502AE8" w:rsidRPr="00D04DA2">
              <w:rPr>
                <w:rFonts w:cstheme="minorHAnsi"/>
                <w:color w:val="000000" w:themeColor="text1"/>
                <w:sz w:val="20"/>
                <w:szCs w:val="20"/>
              </w:rPr>
              <w:t xml:space="preserve"> represents</w:t>
            </w:r>
            <w:r w:rsidR="006703EF" w:rsidRPr="00D04DA2">
              <w:rPr>
                <w:rFonts w:cstheme="minorHAnsi"/>
                <w:color w:val="000000" w:themeColor="text1"/>
                <w:sz w:val="20"/>
                <w:szCs w:val="20"/>
              </w:rPr>
              <w:t xml:space="preserve"> </w:t>
            </w:r>
            <w:r w:rsidR="009173FC" w:rsidRPr="00D04DA2">
              <w:rPr>
                <w:rFonts w:cstheme="minorHAnsi"/>
                <w:color w:val="000000" w:themeColor="text1"/>
                <w:sz w:val="20"/>
                <w:szCs w:val="20"/>
              </w:rPr>
              <w:t>very low</w:t>
            </w:r>
            <w:r w:rsidR="00B34656" w:rsidRPr="00D04DA2">
              <w:rPr>
                <w:rFonts w:cstheme="minorHAnsi"/>
                <w:color w:val="000000" w:themeColor="text1"/>
                <w:sz w:val="20"/>
                <w:szCs w:val="20"/>
              </w:rPr>
              <w:t xml:space="preserve"> performance</w:t>
            </w:r>
            <w:r w:rsidR="00A71C7B" w:rsidRPr="00D04DA2">
              <w:rPr>
                <w:rFonts w:cstheme="minorHAnsi"/>
                <w:color w:val="000000" w:themeColor="text1"/>
                <w:sz w:val="20"/>
                <w:szCs w:val="20"/>
              </w:rPr>
              <w:t>;</w:t>
            </w:r>
            <w:r w:rsidR="002E6FCE" w:rsidRPr="00D04DA2">
              <w:rPr>
                <w:rFonts w:cstheme="minorHAnsi"/>
                <w:color w:val="000000" w:themeColor="text1"/>
                <w:sz w:val="20"/>
                <w:szCs w:val="20"/>
              </w:rPr>
              <w:t xml:space="preserve"> 5 </w:t>
            </w:r>
            <w:r w:rsidR="00B34656" w:rsidRPr="00D04DA2">
              <w:rPr>
                <w:rFonts w:cstheme="minorHAnsi"/>
                <w:color w:val="000000" w:themeColor="text1"/>
                <w:sz w:val="20"/>
                <w:szCs w:val="20"/>
              </w:rPr>
              <w:t>represents</w:t>
            </w:r>
            <w:r w:rsidR="00076E97" w:rsidRPr="00D04DA2">
              <w:rPr>
                <w:rFonts w:cstheme="minorHAnsi"/>
                <w:color w:val="000000" w:themeColor="text1"/>
                <w:sz w:val="20"/>
                <w:szCs w:val="20"/>
              </w:rPr>
              <w:t xml:space="preserve"> </w:t>
            </w:r>
            <w:r w:rsidR="009173FC" w:rsidRPr="00D04DA2">
              <w:rPr>
                <w:rFonts w:cstheme="minorHAnsi"/>
                <w:color w:val="000000" w:themeColor="text1"/>
                <w:sz w:val="20"/>
                <w:szCs w:val="20"/>
              </w:rPr>
              <w:t>very high</w:t>
            </w:r>
            <w:r w:rsidR="00B34656" w:rsidRPr="00D04DA2">
              <w:rPr>
                <w:rFonts w:cstheme="minorHAnsi"/>
                <w:color w:val="000000" w:themeColor="text1"/>
                <w:sz w:val="20"/>
                <w:szCs w:val="20"/>
              </w:rPr>
              <w:t xml:space="preserve"> performance</w:t>
            </w:r>
            <w:r w:rsidR="00D34879" w:rsidRPr="00D04DA2">
              <w:rPr>
                <w:rFonts w:cstheme="minorHAnsi"/>
                <w:color w:val="000000" w:themeColor="text1"/>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449F7A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World Bank Group</w:t>
            </w:r>
          </w:p>
        </w:tc>
        <w:tc>
          <w:tcPr>
            <w:tcW w:w="1341" w:type="dxa"/>
            <w:tcBorders>
              <w:top w:val="single" w:sz="4" w:space="0" w:color="auto"/>
              <w:left w:val="nil"/>
              <w:bottom w:val="single" w:sz="4" w:space="0" w:color="auto"/>
              <w:right w:val="single" w:sz="4" w:space="0" w:color="auto"/>
            </w:tcBorders>
            <w:shd w:val="clear" w:color="auto" w:fill="auto"/>
          </w:tcPr>
          <w:p w14:paraId="54AF99F6" w14:textId="42F61D8F"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396EF32" w14:textId="77777777" w:rsidR="00784998" w:rsidRPr="00D04DA2" w:rsidRDefault="001351F7"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Logistics Performance Index </w:t>
            </w:r>
            <w:r w:rsidR="00E5474F" w:rsidRPr="00D04DA2">
              <w:rPr>
                <w:rFonts w:cstheme="minorHAnsi"/>
                <w:color w:val="000000" w:themeColor="text1"/>
                <w:sz w:val="20"/>
                <w:szCs w:val="20"/>
              </w:rPr>
              <w:t>benchmarks and ranks countries on six dimensions of trade logistics, namely:</w:t>
            </w:r>
          </w:p>
          <w:p w14:paraId="617B302F" w14:textId="012A138C" w:rsidR="00784998" w:rsidRPr="00D04DA2" w:rsidRDefault="00E5474F" w:rsidP="00D04DA2">
            <w:pPr>
              <w:pStyle w:val="ListParagraph"/>
              <w:numPr>
                <w:ilvl w:val="0"/>
                <w:numId w:val="10"/>
              </w:numPr>
              <w:spacing w:after="0" w:line="240" w:lineRule="auto"/>
              <w:rPr>
                <w:rFonts w:cstheme="minorHAnsi"/>
                <w:color w:val="000000"/>
                <w:sz w:val="20"/>
                <w:szCs w:val="20"/>
              </w:rPr>
            </w:pPr>
            <w:r w:rsidRPr="00D04DA2">
              <w:rPr>
                <w:rFonts w:cstheme="minorHAnsi"/>
                <w:color w:val="000000" w:themeColor="text1"/>
                <w:sz w:val="20"/>
                <w:szCs w:val="20"/>
              </w:rPr>
              <w:t>the efficiency of customs and border clearance (“Customs”)</w:t>
            </w:r>
          </w:p>
          <w:p w14:paraId="25BDF6CB" w14:textId="4FF3B1B5" w:rsidR="00784998" w:rsidRPr="00D04DA2" w:rsidRDefault="00E5474F" w:rsidP="00D04DA2">
            <w:pPr>
              <w:pStyle w:val="ListParagraph"/>
              <w:numPr>
                <w:ilvl w:val="0"/>
                <w:numId w:val="10"/>
              </w:numPr>
              <w:spacing w:after="0" w:line="240" w:lineRule="auto"/>
              <w:rPr>
                <w:rFonts w:cstheme="minorHAnsi"/>
                <w:color w:val="000000"/>
                <w:sz w:val="20"/>
                <w:szCs w:val="20"/>
              </w:rPr>
            </w:pPr>
            <w:r w:rsidRPr="00D04DA2">
              <w:rPr>
                <w:rFonts w:cstheme="minorHAnsi"/>
                <w:color w:val="000000" w:themeColor="text1"/>
                <w:sz w:val="20"/>
                <w:szCs w:val="20"/>
              </w:rPr>
              <w:t>the quality of trade and transport infrastructure (“Infrastructure”)</w:t>
            </w:r>
          </w:p>
          <w:p w14:paraId="621AAA1C" w14:textId="419D146C" w:rsidR="00784998" w:rsidRPr="00D04DA2" w:rsidRDefault="00E5474F" w:rsidP="00D04DA2">
            <w:pPr>
              <w:pStyle w:val="ListParagraph"/>
              <w:numPr>
                <w:ilvl w:val="0"/>
                <w:numId w:val="10"/>
              </w:numPr>
              <w:spacing w:after="0" w:line="240" w:lineRule="auto"/>
              <w:rPr>
                <w:rFonts w:cstheme="minorHAnsi"/>
                <w:color w:val="000000"/>
                <w:sz w:val="20"/>
                <w:szCs w:val="20"/>
              </w:rPr>
            </w:pPr>
            <w:r w:rsidRPr="00D04DA2">
              <w:rPr>
                <w:rFonts w:cstheme="minorHAnsi"/>
                <w:color w:val="000000" w:themeColor="text1"/>
                <w:sz w:val="20"/>
                <w:szCs w:val="20"/>
              </w:rPr>
              <w:t>the ease of arranging competitively priced shipments (“Ease of arranging shipments”)</w:t>
            </w:r>
          </w:p>
          <w:p w14:paraId="7C6CD156" w14:textId="5E92ED26" w:rsidR="00784998" w:rsidRPr="00D04DA2" w:rsidRDefault="00E5474F" w:rsidP="00D04DA2">
            <w:pPr>
              <w:pStyle w:val="ListParagraph"/>
              <w:numPr>
                <w:ilvl w:val="0"/>
                <w:numId w:val="10"/>
              </w:numPr>
              <w:spacing w:after="0" w:line="240" w:lineRule="auto"/>
              <w:rPr>
                <w:rFonts w:cstheme="minorHAnsi"/>
                <w:color w:val="000000"/>
                <w:sz w:val="20"/>
                <w:szCs w:val="20"/>
              </w:rPr>
            </w:pPr>
            <w:r w:rsidRPr="00D04DA2">
              <w:rPr>
                <w:rFonts w:cstheme="minorHAnsi"/>
                <w:color w:val="000000" w:themeColor="text1"/>
                <w:sz w:val="20"/>
                <w:szCs w:val="20"/>
              </w:rPr>
              <w:t>the competence and quality of logistics services (“Quality of logistics services”)</w:t>
            </w:r>
          </w:p>
          <w:p w14:paraId="60B16B29" w14:textId="0D7A0F87" w:rsidR="00784998" w:rsidRPr="00D04DA2" w:rsidRDefault="00E5474F" w:rsidP="00D04DA2">
            <w:pPr>
              <w:pStyle w:val="ListParagraph"/>
              <w:numPr>
                <w:ilvl w:val="0"/>
                <w:numId w:val="10"/>
              </w:numPr>
              <w:spacing w:after="0" w:line="240" w:lineRule="auto"/>
              <w:rPr>
                <w:rFonts w:cstheme="minorHAnsi"/>
                <w:color w:val="000000"/>
                <w:sz w:val="20"/>
                <w:szCs w:val="20"/>
              </w:rPr>
            </w:pPr>
            <w:r w:rsidRPr="00D04DA2">
              <w:rPr>
                <w:rFonts w:cstheme="minorHAnsi"/>
                <w:color w:val="000000" w:themeColor="text1"/>
                <w:sz w:val="20"/>
                <w:szCs w:val="20"/>
              </w:rPr>
              <w:t xml:space="preserve">the ability to track and trace consignments (“Tracking and </w:t>
            </w:r>
            <w:r w:rsidR="00895C3D" w:rsidRPr="00D04DA2">
              <w:rPr>
                <w:rFonts w:cstheme="minorHAnsi"/>
                <w:color w:val="000000" w:themeColor="text1"/>
                <w:sz w:val="20"/>
                <w:szCs w:val="20"/>
              </w:rPr>
              <w:t>t</w:t>
            </w:r>
            <w:r w:rsidRPr="00D04DA2">
              <w:rPr>
                <w:rFonts w:cstheme="minorHAnsi"/>
                <w:color w:val="000000" w:themeColor="text1"/>
                <w:sz w:val="20"/>
                <w:szCs w:val="20"/>
              </w:rPr>
              <w:t>racing”)</w:t>
            </w:r>
          </w:p>
          <w:p w14:paraId="6FB264C8" w14:textId="4A71219B" w:rsidR="00E5474F" w:rsidRPr="00D04DA2" w:rsidRDefault="00E5474F" w:rsidP="00D04DA2">
            <w:pPr>
              <w:pStyle w:val="ListParagraph"/>
              <w:numPr>
                <w:ilvl w:val="0"/>
                <w:numId w:val="10"/>
              </w:numPr>
              <w:spacing w:after="0" w:line="240" w:lineRule="auto"/>
              <w:rPr>
                <w:rFonts w:cstheme="minorHAnsi"/>
                <w:color w:val="000000"/>
                <w:sz w:val="20"/>
                <w:szCs w:val="20"/>
              </w:rPr>
            </w:pPr>
            <w:r w:rsidRPr="00D04DA2">
              <w:rPr>
                <w:rFonts w:cstheme="minorHAnsi"/>
                <w:color w:val="000000" w:themeColor="text1"/>
                <w:sz w:val="20"/>
                <w:szCs w:val="20"/>
              </w:rPr>
              <w:t>the frequency with which shipments reach consignees within scheduled or expected delivery times (“Timeliness”)</w:t>
            </w:r>
          </w:p>
        </w:tc>
        <w:tc>
          <w:tcPr>
            <w:tcW w:w="1485" w:type="dxa"/>
            <w:tcBorders>
              <w:top w:val="single" w:sz="4" w:space="0" w:color="auto"/>
              <w:left w:val="nil"/>
              <w:bottom w:val="single" w:sz="4" w:space="0" w:color="auto"/>
              <w:right w:val="single" w:sz="4" w:space="0" w:color="auto"/>
            </w:tcBorders>
          </w:tcPr>
          <w:p w14:paraId="75EDE6A8" w14:textId="6C3DC7D3" w:rsidR="00E5474F" w:rsidRPr="00D04DA2" w:rsidRDefault="00AE794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Polic</w:t>
            </w:r>
            <w:r w:rsidR="00113E3E" w:rsidRPr="00D04DA2">
              <w:rPr>
                <w:rFonts w:cstheme="minorHAnsi"/>
                <w:color w:val="000000" w:themeColor="text1"/>
                <w:sz w:val="20"/>
                <w:szCs w:val="20"/>
              </w:rPr>
              <w:t>y metrics</w:t>
            </w:r>
            <w:r w:rsidR="00337EE2" w:rsidRPr="00D04DA2">
              <w:rPr>
                <w:rFonts w:cstheme="minorHAnsi"/>
                <w:color w:val="000000" w:themeColor="text1"/>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9D13482" w14:textId="2BBFBE22"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9D82FC6" w14:textId="12EB757C"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16</w:t>
            </w:r>
            <w:r w:rsidR="0036008B">
              <w:rPr>
                <w:rFonts w:cstheme="minorHAnsi"/>
                <w:color w:val="000000" w:themeColor="text1"/>
                <w:sz w:val="20"/>
                <w:szCs w:val="20"/>
              </w:rPr>
              <w:t xml:space="preserve">8 </w:t>
            </w:r>
            <w:r w:rsidRPr="00D04DA2">
              <w:rPr>
                <w:rFonts w:cstheme="minorHAnsi"/>
                <w:color w:val="000000" w:themeColor="text1"/>
                <w:sz w:val="20"/>
                <w:szCs w:val="20"/>
              </w:rPr>
              <w:t>economies</w:t>
            </w:r>
          </w:p>
        </w:tc>
        <w:tc>
          <w:tcPr>
            <w:tcW w:w="1418" w:type="dxa"/>
            <w:tcBorders>
              <w:top w:val="single" w:sz="4" w:space="0" w:color="auto"/>
              <w:left w:val="single" w:sz="4" w:space="0" w:color="auto"/>
              <w:bottom w:val="single" w:sz="4" w:space="0" w:color="auto"/>
              <w:right w:val="single" w:sz="4" w:space="0" w:color="auto"/>
            </w:tcBorders>
          </w:tcPr>
          <w:p w14:paraId="39B749EF" w14:textId="5187D582" w:rsidR="00E5474F" w:rsidRPr="00D04DA2" w:rsidRDefault="0036008B"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t>25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706EDC" w14:textId="3D6B2DE7" w:rsidR="00E5474F" w:rsidRPr="00D04DA2" w:rsidRDefault="00AA4CA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Every 2 years</w:t>
            </w:r>
            <w:r w:rsidR="00A71C7B" w:rsidRPr="00D04DA2">
              <w:rPr>
                <w:rFonts w:cstheme="minorHAnsi"/>
                <w:color w:val="000000" w:themeColor="text1"/>
                <w:sz w:val="20"/>
                <w:szCs w:val="20"/>
              </w:rPr>
              <w:t>.</w:t>
            </w:r>
          </w:p>
          <w:p w14:paraId="17B3E2DC" w14:textId="77777777" w:rsidR="00FA0425" w:rsidRPr="00D04DA2" w:rsidRDefault="00FA0425" w:rsidP="00D04DA2">
            <w:pPr>
              <w:spacing w:after="0" w:line="240" w:lineRule="auto"/>
              <w:contextualSpacing/>
              <w:rPr>
                <w:rFonts w:cstheme="minorHAnsi"/>
                <w:color w:val="000000" w:themeColor="text1"/>
                <w:sz w:val="20"/>
                <w:szCs w:val="20"/>
              </w:rPr>
            </w:pPr>
          </w:p>
          <w:p w14:paraId="55ADA2E2" w14:textId="3CAB6E51" w:rsidR="00E5474F" w:rsidRPr="00D04DA2" w:rsidRDefault="0035047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is published for</w:t>
            </w:r>
            <w:r w:rsidR="00E20249" w:rsidRPr="00D04DA2">
              <w:rPr>
                <w:rFonts w:cstheme="minorHAnsi"/>
                <w:color w:val="000000" w:themeColor="text1"/>
                <w:sz w:val="20"/>
                <w:szCs w:val="20"/>
              </w:rPr>
              <w:t xml:space="preserve"> 2007</w:t>
            </w:r>
            <w:r w:rsidR="006A36CF" w:rsidRPr="00D04DA2">
              <w:rPr>
                <w:rFonts w:cstheme="minorHAnsi"/>
                <w:color w:val="000000" w:themeColor="text1"/>
                <w:sz w:val="20"/>
                <w:szCs w:val="20"/>
              </w:rPr>
              <w:t>-2018.</w:t>
            </w:r>
          </w:p>
        </w:tc>
        <w:tc>
          <w:tcPr>
            <w:tcW w:w="1664" w:type="dxa"/>
            <w:tcBorders>
              <w:top w:val="single" w:sz="4" w:space="0" w:color="auto"/>
              <w:left w:val="nil"/>
              <w:bottom w:val="single" w:sz="4" w:space="0" w:color="auto"/>
              <w:right w:val="single" w:sz="4" w:space="0" w:color="auto"/>
            </w:tcBorders>
            <w:shd w:val="clear" w:color="auto" w:fill="auto"/>
          </w:tcPr>
          <w:p w14:paraId="014E9DC9" w14:textId="77777777" w:rsidR="00E5474F" w:rsidRPr="00D04DA2" w:rsidRDefault="00E5474F"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https://lpi.worldbank.org/</w:t>
            </w:r>
          </w:p>
        </w:tc>
      </w:tr>
      <w:tr w:rsidR="00500C09" w:rsidRPr="00D04DA2" w14:paraId="5131FDA8"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05886AD4" w14:textId="2BF06F2C" w:rsidR="00E5474F" w:rsidRPr="00D04DA2" w:rsidRDefault="4E1BF8C6"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5</w:t>
            </w:r>
            <w:r w:rsidR="00C93770">
              <w:rPr>
                <w:rFonts w:cstheme="minorHAnsi"/>
                <w:color w:val="000000" w:themeColor="text1"/>
                <w:sz w:val="20"/>
                <w:szCs w:val="20"/>
              </w:rPr>
              <w:t>2</w:t>
            </w:r>
          </w:p>
        </w:tc>
        <w:tc>
          <w:tcPr>
            <w:tcW w:w="1341" w:type="dxa"/>
            <w:tcBorders>
              <w:top w:val="single" w:sz="4" w:space="0" w:color="auto"/>
              <w:left w:val="single" w:sz="4" w:space="0" w:color="auto"/>
              <w:bottom w:val="single" w:sz="4" w:space="0" w:color="auto"/>
              <w:right w:val="nil"/>
            </w:tcBorders>
            <w:shd w:val="clear" w:color="auto" w:fill="auto"/>
          </w:tcPr>
          <w:p w14:paraId="5D76E8CF"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Trading across borders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5CE23F8"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0FB8F67C" w14:textId="45728D2B"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Global </w:t>
            </w:r>
            <w:r w:rsidR="00B364C5" w:rsidRPr="00D04DA2">
              <w:rPr>
                <w:rFonts w:cstheme="minorHAnsi"/>
                <w:color w:val="000000" w:themeColor="text1"/>
                <w:sz w:val="20"/>
                <w:szCs w:val="20"/>
              </w:rPr>
              <w:t>s</w:t>
            </w:r>
            <w:r w:rsidRPr="00D04DA2">
              <w:rPr>
                <w:rFonts w:cstheme="minorHAnsi"/>
                <w:color w:val="000000" w:themeColor="text1"/>
                <w:sz w:val="20"/>
                <w:szCs w:val="20"/>
              </w:rPr>
              <w:t xml:space="preserve">urvey on </w:t>
            </w:r>
            <w:r w:rsidR="00B364C5" w:rsidRPr="00D04DA2">
              <w:rPr>
                <w:rFonts w:cstheme="minorHAnsi"/>
                <w:color w:val="000000" w:themeColor="text1"/>
                <w:sz w:val="20"/>
                <w:szCs w:val="20"/>
              </w:rPr>
              <w:t>d</w:t>
            </w:r>
            <w:r w:rsidRPr="00D04DA2">
              <w:rPr>
                <w:rFonts w:cstheme="minorHAnsi"/>
                <w:color w:val="000000" w:themeColor="text1"/>
                <w:sz w:val="20"/>
                <w:szCs w:val="20"/>
              </w:rPr>
              <w:t xml:space="preserve">igital and </w:t>
            </w:r>
            <w:r w:rsidR="00B364C5" w:rsidRPr="00D04DA2">
              <w:rPr>
                <w:rFonts w:cstheme="minorHAnsi"/>
                <w:color w:val="000000" w:themeColor="text1"/>
                <w:sz w:val="20"/>
                <w:szCs w:val="20"/>
              </w:rPr>
              <w:t>s</w:t>
            </w:r>
            <w:r w:rsidRPr="00D04DA2">
              <w:rPr>
                <w:rFonts w:cstheme="minorHAnsi"/>
                <w:color w:val="000000" w:themeColor="text1"/>
                <w:sz w:val="20"/>
                <w:szCs w:val="20"/>
              </w:rPr>
              <w:t xml:space="preserve">ustainable </w:t>
            </w:r>
            <w:r w:rsidR="00B364C5" w:rsidRPr="00D04DA2">
              <w:rPr>
                <w:rFonts w:cstheme="minorHAnsi"/>
                <w:color w:val="000000" w:themeColor="text1"/>
                <w:sz w:val="20"/>
                <w:szCs w:val="20"/>
              </w:rPr>
              <w:t>t</w:t>
            </w:r>
            <w:r w:rsidRPr="00D04DA2">
              <w:rPr>
                <w:rFonts w:cstheme="minorHAnsi"/>
                <w:color w:val="000000" w:themeColor="text1"/>
                <w:sz w:val="20"/>
                <w:szCs w:val="20"/>
              </w:rPr>
              <w:t xml:space="preserve">rade </w:t>
            </w:r>
            <w:r w:rsidR="00B364C5" w:rsidRPr="00D04DA2">
              <w:rPr>
                <w:rFonts w:cstheme="minorHAnsi"/>
                <w:color w:val="000000" w:themeColor="text1"/>
                <w:sz w:val="20"/>
                <w:szCs w:val="20"/>
              </w:rPr>
              <w:t>f</w:t>
            </w:r>
            <w:r w:rsidRPr="00D04DA2">
              <w:rPr>
                <w:rFonts w:cstheme="minorHAnsi"/>
                <w:color w:val="000000" w:themeColor="text1"/>
                <w:sz w:val="20"/>
                <w:szCs w:val="20"/>
              </w:rPr>
              <w:t>acilitation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D4B5CF" w14:textId="2D7A1561" w:rsidR="00E5474F" w:rsidRPr="00D04DA2" w:rsidRDefault="00A71C7B"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S</w:t>
            </w:r>
            <w:r w:rsidR="00C6674B" w:rsidRPr="00D04DA2">
              <w:rPr>
                <w:rFonts w:cstheme="minorHAnsi"/>
                <w:color w:val="000000"/>
                <w:sz w:val="20"/>
                <w:szCs w:val="20"/>
              </w:rPr>
              <w:t>core</w:t>
            </w:r>
            <w:r w:rsidR="00667BCA" w:rsidRPr="00D04DA2">
              <w:rPr>
                <w:rFonts w:cstheme="minorHAnsi"/>
                <w:color w:val="000000"/>
                <w:sz w:val="20"/>
                <w:szCs w:val="20"/>
              </w:rPr>
              <w:t xml:space="preserve"> </w:t>
            </w:r>
            <w:r w:rsidR="002E4AB3" w:rsidRPr="00D04DA2">
              <w:rPr>
                <w:rFonts w:cstheme="minorHAnsi"/>
                <w:color w:val="000000"/>
                <w:sz w:val="20"/>
                <w:szCs w:val="20"/>
              </w:rPr>
              <w:t>of</w:t>
            </w:r>
            <w:r w:rsidR="00EF42B5" w:rsidRPr="00D04DA2">
              <w:rPr>
                <w:rFonts w:cstheme="minorHAnsi"/>
                <w:color w:val="000000"/>
                <w:sz w:val="20"/>
                <w:szCs w:val="20"/>
              </w:rPr>
              <w:t xml:space="preserve"> 0</w:t>
            </w:r>
            <w:r w:rsidR="008E7ACF" w:rsidRPr="00D04DA2">
              <w:rPr>
                <w:rFonts w:cstheme="minorHAnsi"/>
                <w:color w:val="000000"/>
                <w:sz w:val="20"/>
                <w:szCs w:val="20"/>
              </w:rPr>
              <w:t>-</w:t>
            </w:r>
            <w:r w:rsidR="00EF42B5" w:rsidRPr="00D04DA2">
              <w:rPr>
                <w:rFonts w:cstheme="minorHAnsi"/>
                <w:color w:val="000000"/>
                <w:sz w:val="20"/>
                <w:szCs w:val="20"/>
              </w:rPr>
              <w:t>100%</w:t>
            </w:r>
            <w:r w:rsidR="00D34879" w:rsidRPr="00D04DA2">
              <w:rPr>
                <w:rFonts w:cstheme="minorHAnsi"/>
                <w:color w:val="000000"/>
                <w:sz w:val="20"/>
                <w:szCs w:val="20"/>
              </w:rPr>
              <w:t xml:space="preserve"> (</w:t>
            </w:r>
            <w:r w:rsidR="00EF42B5" w:rsidRPr="00D04DA2">
              <w:rPr>
                <w:rFonts w:cstheme="minorHAnsi"/>
                <w:color w:val="000000"/>
                <w:sz w:val="20"/>
                <w:szCs w:val="20"/>
              </w:rPr>
              <w:t xml:space="preserve">where </w:t>
            </w:r>
            <w:r w:rsidR="00185BA6" w:rsidRPr="00D04DA2">
              <w:rPr>
                <w:rFonts w:cstheme="minorHAnsi"/>
                <w:color w:val="000000"/>
                <w:sz w:val="20"/>
                <w:szCs w:val="20"/>
              </w:rPr>
              <w:t>100% represents full implementation</w:t>
            </w:r>
            <w:r w:rsidR="008E7ACF" w:rsidRPr="00D04DA2">
              <w:rPr>
                <w:rFonts w:cstheme="minorHAnsi"/>
                <w:color w:val="000000"/>
                <w:sz w:val="20"/>
                <w:szCs w:val="20"/>
              </w:rPr>
              <w:t>;</w:t>
            </w:r>
            <w:r w:rsidR="00185BA6" w:rsidRPr="00D04DA2">
              <w:rPr>
                <w:rFonts w:cstheme="minorHAnsi"/>
                <w:color w:val="000000"/>
                <w:sz w:val="20"/>
                <w:szCs w:val="20"/>
              </w:rPr>
              <w:t xml:space="preserve"> </w:t>
            </w:r>
            <w:r w:rsidR="0085513F" w:rsidRPr="00D04DA2">
              <w:rPr>
                <w:rFonts w:cstheme="minorHAnsi"/>
                <w:color w:val="000000"/>
                <w:sz w:val="20"/>
                <w:szCs w:val="20"/>
              </w:rPr>
              <w:t xml:space="preserve">0% represents </w:t>
            </w:r>
            <w:r w:rsidR="00105543" w:rsidRPr="00D04DA2">
              <w:rPr>
                <w:rFonts w:cstheme="minorHAnsi"/>
                <w:color w:val="000000"/>
                <w:sz w:val="20"/>
                <w:szCs w:val="20"/>
              </w:rPr>
              <w:t>no implementation</w:t>
            </w:r>
            <w:r w:rsidR="00D34879"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C4F99F9"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United Nations</w:t>
            </w:r>
          </w:p>
        </w:tc>
        <w:tc>
          <w:tcPr>
            <w:tcW w:w="1341" w:type="dxa"/>
            <w:tcBorders>
              <w:top w:val="single" w:sz="4" w:space="0" w:color="auto"/>
              <w:left w:val="nil"/>
              <w:bottom w:val="single" w:sz="4" w:space="0" w:color="auto"/>
              <w:right w:val="single" w:sz="4" w:space="0" w:color="auto"/>
            </w:tcBorders>
            <w:shd w:val="clear" w:color="auto" w:fill="auto"/>
          </w:tcPr>
          <w:p w14:paraId="64D29BC7" w14:textId="57331622"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Public sector organization</w:t>
            </w:r>
            <w:r w:rsidR="00F55FCA" w:rsidRPr="00D04DA2">
              <w:rPr>
                <w:rFonts w:cstheme="minorHAnsi"/>
                <w:color w:val="000000" w:themeColor="text1"/>
                <w:sz w:val="20"/>
                <w:szCs w:val="20"/>
              </w:rPr>
              <w:t>/Surveys of firms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2151776" w14:textId="77777777" w:rsidR="00834112"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The global survey on digital and sustainable trade facilitation covers a WTO TFA+ set of nearly 60 trade facilitation measures categorized into eleven indicators, namely:</w:t>
            </w:r>
          </w:p>
          <w:p w14:paraId="0E6AA8A7"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transparency </w:t>
            </w:r>
          </w:p>
          <w:p w14:paraId="79B5D006"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formalities </w:t>
            </w:r>
          </w:p>
          <w:p w14:paraId="15919307"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institutional arrangement and cooperation </w:t>
            </w:r>
          </w:p>
          <w:p w14:paraId="70EB460B"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transit facilitation </w:t>
            </w:r>
          </w:p>
          <w:p w14:paraId="250B5C5F"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paperless trade </w:t>
            </w:r>
          </w:p>
          <w:p w14:paraId="3F9D488D"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cross-border paperless trade </w:t>
            </w:r>
          </w:p>
          <w:p w14:paraId="2E63E070"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trade facilitation for SMEs </w:t>
            </w:r>
          </w:p>
          <w:p w14:paraId="771EA17C"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agricultural trade facilitation </w:t>
            </w:r>
          </w:p>
          <w:p w14:paraId="6E89569A"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 xml:space="preserve">women in trade facilitation </w:t>
            </w:r>
          </w:p>
          <w:p w14:paraId="5AB319D0" w14:textId="77777777" w:rsidR="00834112"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trade finance for trade facilitation</w:t>
            </w:r>
          </w:p>
          <w:p w14:paraId="7EAF1594" w14:textId="5CD6D884" w:rsidR="00E5474F" w:rsidRPr="00D04DA2" w:rsidRDefault="00E5474F" w:rsidP="00D04DA2">
            <w:pPr>
              <w:pStyle w:val="ListParagraph"/>
              <w:numPr>
                <w:ilvl w:val="0"/>
                <w:numId w:val="11"/>
              </w:numPr>
              <w:spacing w:after="0" w:line="240" w:lineRule="auto"/>
              <w:rPr>
                <w:rFonts w:cstheme="minorHAnsi"/>
                <w:color w:val="000000" w:themeColor="text1"/>
                <w:sz w:val="20"/>
                <w:szCs w:val="20"/>
              </w:rPr>
            </w:pPr>
            <w:r w:rsidRPr="00D04DA2">
              <w:rPr>
                <w:rFonts w:cstheme="minorHAnsi"/>
                <w:color w:val="000000"/>
                <w:sz w:val="20"/>
                <w:szCs w:val="20"/>
              </w:rPr>
              <w:t>trade facilitation in times of crisis</w:t>
            </w:r>
          </w:p>
        </w:tc>
        <w:tc>
          <w:tcPr>
            <w:tcW w:w="1485" w:type="dxa"/>
            <w:tcBorders>
              <w:top w:val="single" w:sz="4" w:space="0" w:color="auto"/>
              <w:left w:val="single" w:sz="4" w:space="0" w:color="auto"/>
              <w:bottom w:val="single" w:sz="4" w:space="0" w:color="auto"/>
              <w:right w:val="single" w:sz="4" w:space="0" w:color="auto"/>
            </w:tcBorders>
          </w:tcPr>
          <w:p w14:paraId="4E12C982" w14:textId="215A5234" w:rsidR="00E5474F" w:rsidRPr="00D04DA2" w:rsidRDefault="00113E3E" w:rsidP="00D04DA2">
            <w:pPr>
              <w:spacing w:after="0" w:line="240" w:lineRule="auto"/>
              <w:contextualSpacing/>
              <w:rPr>
                <w:rFonts w:cstheme="minorHAnsi"/>
                <w:color w:val="000000"/>
                <w:sz w:val="20"/>
                <w:szCs w:val="20"/>
              </w:rPr>
            </w:pPr>
            <w:r w:rsidRPr="00D04DA2">
              <w:rPr>
                <w:rFonts w:cstheme="minorHAnsi"/>
                <w:color w:val="000000"/>
                <w:sz w:val="20"/>
                <w:szCs w:val="20"/>
              </w:rPr>
              <w:t>Policy metrics</w:t>
            </w:r>
            <w:r w:rsidR="0002079A"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DDBCB60" w14:textId="665B0D1C"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15D80D"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143 economies</w:t>
            </w:r>
          </w:p>
        </w:tc>
        <w:tc>
          <w:tcPr>
            <w:tcW w:w="1418" w:type="dxa"/>
            <w:tcBorders>
              <w:top w:val="single" w:sz="4" w:space="0" w:color="auto"/>
              <w:left w:val="nil"/>
              <w:bottom w:val="single" w:sz="4" w:space="0" w:color="auto"/>
              <w:right w:val="single" w:sz="4" w:space="0" w:color="auto"/>
            </w:tcBorders>
          </w:tcPr>
          <w:p w14:paraId="53F397D6" w14:textId="6E06DE46" w:rsidR="00E5474F" w:rsidRPr="00D04DA2" w:rsidRDefault="009001F0" w:rsidP="00D04DA2">
            <w:pPr>
              <w:spacing w:after="0" w:line="240" w:lineRule="auto"/>
              <w:contextualSpacing/>
              <w:rPr>
                <w:rFonts w:cstheme="minorHAnsi"/>
                <w:color w:val="000000"/>
                <w:sz w:val="20"/>
                <w:szCs w:val="20"/>
              </w:rPr>
            </w:pPr>
            <w:r>
              <w:rPr>
                <w:rFonts w:cstheme="minorHAnsi"/>
                <w:sz w:val="20"/>
                <w:szCs w:val="20"/>
              </w:rPr>
              <w:t xml:space="preserve">Cannot easily identify in the source </w:t>
            </w:r>
            <w:r w:rsidR="00712D33">
              <w:rPr>
                <w:rFonts w:cstheme="minorHAnsi"/>
                <w:sz w:val="20"/>
                <w:szCs w:val="20"/>
              </w:rPr>
              <w:t>chart</w:t>
            </w:r>
            <w:r>
              <w:rPr>
                <w:rFonts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ADC1BA" w14:textId="55AF02F5" w:rsidR="00E5474F" w:rsidRPr="00D04DA2" w:rsidRDefault="00AA4CAF" w:rsidP="00D04DA2">
            <w:pPr>
              <w:spacing w:after="0" w:line="240" w:lineRule="auto"/>
              <w:contextualSpacing/>
              <w:rPr>
                <w:rFonts w:cstheme="minorHAnsi"/>
                <w:color w:val="000000"/>
                <w:sz w:val="20"/>
                <w:szCs w:val="20"/>
              </w:rPr>
            </w:pPr>
            <w:r w:rsidRPr="00D04DA2">
              <w:rPr>
                <w:rFonts w:cstheme="minorHAnsi"/>
                <w:color w:val="000000"/>
                <w:sz w:val="20"/>
                <w:szCs w:val="20"/>
              </w:rPr>
              <w:t>Every 2 years</w:t>
            </w:r>
            <w:r w:rsidR="008E7ACF" w:rsidRPr="00D04DA2">
              <w:rPr>
                <w:rFonts w:cstheme="minorHAnsi"/>
                <w:color w:val="000000"/>
                <w:sz w:val="20"/>
                <w:szCs w:val="20"/>
              </w:rPr>
              <w:t>.</w:t>
            </w:r>
          </w:p>
          <w:p w14:paraId="2CF60ABC" w14:textId="77777777" w:rsidR="00C008A7" w:rsidRPr="00D04DA2" w:rsidRDefault="00C008A7" w:rsidP="00D04DA2">
            <w:pPr>
              <w:spacing w:after="0" w:line="240" w:lineRule="auto"/>
              <w:contextualSpacing/>
              <w:rPr>
                <w:rFonts w:cstheme="minorHAnsi"/>
                <w:color w:val="000000"/>
                <w:sz w:val="20"/>
                <w:szCs w:val="20"/>
              </w:rPr>
            </w:pPr>
          </w:p>
          <w:p w14:paraId="250E2AB7" w14:textId="2438E838" w:rsidR="00E5474F" w:rsidRPr="00D04DA2" w:rsidRDefault="00F2279E" w:rsidP="00D04DA2">
            <w:pPr>
              <w:spacing w:after="0" w:line="240" w:lineRule="auto"/>
              <w:contextualSpacing/>
              <w:rPr>
                <w:rFonts w:cstheme="minorHAnsi"/>
                <w:color w:val="000000"/>
                <w:sz w:val="20"/>
                <w:szCs w:val="20"/>
              </w:rPr>
            </w:pPr>
            <w:r w:rsidRPr="00D04DA2">
              <w:rPr>
                <w:rFonts w:cstheme="minorHAnsi"/>
                <w:color w:val="000000"/>
                <w:sz w:val="20"/>
                <w:szCs w:val="20"/>
              </w:rPr>
              <w:t>The indicato</w:t>
            </w:r>
            <w:r w:rsidR="00875554" w:rsidRPr="00D04DA2">
              <w:rPr>
                <w:rFonts w:cstheme="minorHAnsi"/>
                <w:color w:val="000000"/>
                <w:sz w:val="20"/>
                <w:szCs w:val="20"/>
              </w:rPr>
              <w:t>r is published for</w:t>
            </w:r>
            <w:r w:rsidR="00B173AC" w:rsidRPr="00D04DA2">
              <w:rPr>
                <w:rFonts w:cstheme="minorHAnsi"/>
                <w:color w:val="000000"/>
                <w:sz w:val="20"/>
                <w:szCs w:val="20"/>
              </w:rPr>
              <w:t xml:space="preserve"> 2015</w:t>
            </w:r>
            <w:r w:rsidR="002B6777" w:rsidRPr="00D04DA2">
              <w:rPr>
                <w:rFonts w:cstheme="minorHAnsi"/>
                <w:color w:val="000000"/>
                <w:sz w:val="20"/>
                <w:szCs w:val="20"/>
              </w:rPr>
              <w:t>-2021</w:t>
            </w:r>
            <w:r w:rsidR="00B173AC" w:rsidRPr="00D04DA2">
              <w:rPr>
                <w:rFonts w:cstheme="minorHAnsi"/>
                <w:color w:val="000000"/>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1AF25A38" w14:textId="57C9CFBB" w:rsidR="00E5474F" w:rsidRPr="00D04DA2" w:rsidRDefault="00FA1285" w:rsidP="00D04DA2">
            <w:pPr>
              <w:spacing w:after="0" w:line="240" w:lineRule="auto"/>
              <w:contextualSpacing/>
              <w:rPr>
                <w:rFonts w:cstheme="minorHAnsi"/>
                <w:color w:val="0563C1"/>
                <w:sz w:val="20"/>
                <w:szCs w:val="20"/>
                <w:u w:val="single"/>
              </w:rPr>
            </w:pPr>
            <w:hyperlink r:id="rId56" w:history="1">
              <w:r w:rsidR="006E1E09" w:rsidRPr="00D04DA2">
                <w:rPr>
                  <w:rStyle w:val="Hyperlink"/>
                  <w:rFonts w:cstheme="minorHAnsi"/>
                  <w:sz w:val="20"/>
                  <w:szCs w:val="20"/>
                </w:rPr>
                <w:t>www.u</w:t>
              </w:r>
              <w:bookmarkStart w:id="0" w:name="_Hlt83734786"/>
              <w:bookmarkStart w:id="1" w:name="_Hlt83734787"/>
              <w:bookmarkEnd w:id="0"/>
              <w:bookmarkEnd w:id="1"/>
              <w:r w:rsidR="006E1E09" w:rsidRPr="00D04DA2">
                <w:rPr>
                  <w:rStyle w:val="Hyperlink"/>
                  <w:rFonts w:cstheme="minorHAnsi"/>
                  <w:sz w:val="20"/>
                  <w:szCs w:val="20"/>
                </w:rPr>
                <w:t>ntfsurvey.org</w:t>
              </w:r>
            </w:hyperlink>
          </w:p>
          <w:p w14:paraId="08C5F850" w14:textId="77777777" w:rsidR="006E1E09" w:rsidRPr="00D04DA2" w:rsidRDefault="006E1E09" w:rsidP="00D04DA2">
            <w:pPr>
              <w:spacing w:after="0" w:line="240" w:lineRule="auto"/>
              <w:contextualSpacing/>
              <w:jc w:val="right"/>
              <w:rPr>
                <w:rFonts w:cstheme="minorHAnsi"/>
                <w:color w:val="0563C1"/>
                <w:sz w:val="20"/>
                <w:szCs w:val="20"/>
                <w:u w:val="single"/>
              </w:rPr>
            </w:pPr>
          </w:p>
          <w:p w14:paraId="2B89669A" w14:textId="7BA5AFBE" w:rsidR="00E5474F" w:rsidRPr="00D04DA2" w:rsidRDefault="00851B2A" w:rsidP="00D04DA2">
            <w:pPr>
              <w:spacing w:after="0" w:line="240" w:lineRule="auto"/>
              <w:contextualSpacing/>
              <w:rPr>
                <w:rFonts w:cstheme="minorHAnsi"/>
                <w:b/>
                <w:bCs/>
                <w:sz w:val="20"/>
                <w:szCs w:val="20"/>
              </w:rPr>
            </w:pPr>
            <w:r w:rsidRPr="00D04DA2">
              <w:rPr>
                <w:rFonts w:cstheme="minorHAnsi"/>
                <w:b/>
                <w:bCs/>
                <w:color w:val="FF0000"/>
                <w:sz w:val="20"/>
                <w:szCs w:val="20"/>
              </w:rPr>
              <w:t xml:space="preserve">The data </w:t>
            </w:r>
            <w:r w:rsidR="00130AAF" w:rsidRPr="00D04DA2">
              <w:rPr>
                <w:rFonts w:cstheme="minorHAnsi"/>
                <w:b/>
                <w:color w:val="FF0000"/>
                <w:sz w:val="20"/>
                <w:szCs w:val="20"/>
              </w:rPr>
              <w:t>is</w:t>
            </w:r>
            <w:r w:rsidR="0077575A" w:rsidRPr="00D04DA2">
              <w:rPr>
                <w:rFonts w:cstheme="minorHAnsi"/>
                <w:b/>
                <w:color w:val="FF0000"/>
                <w:sz w:val="20"/>
                <w:szCs w:val="20"/>
              </w:rPr>
              <w:t xml:space="preserve"> presented</w:t>
            </w:r>
            <w:r w:rsidRPr="00D04DA2">
              <w:rPr>
                <w:rFonts w:cstheme="minorHAnsi"/>
                <w:b/>
                <w:bCs/>
                <w:color w:val="FF0000"/>
                <w:sz w:val="20"/>
                <w:szCs w:val="20"/>
              </w:rPr>
              <w:t xml:space="preserve"> in </w:t>
            </w:r>
            <w:r w:rsidR="0077575A" w:rsidRPr="00D04DA2">
              <w:rPr>
                <w:rFonts w:cstheme="minorHAnsi"/>
                <w:b/>
                <w:bCs/>
                <w:color w:val="FF0000"/>
                <w:sz w:val="20"/>
                <w:szCs w:val="20"/>
              </w:rPr>
              <w:t xml:space="preserve">chart </w:t>
            </w:r>
            <w:r w:rsidRPr="00D04DA2">
              <w:rPr>
                <w:rFonts w:cstheme="minorHAnsi"/>
                <w:b/>
                <w:bCs/>
                <w:color w:val="FF0000"/>
                <w:sz w:val="20"/>
                <w:szCs w:val="20"/>
              </w:rPr>
              <w:t>only. It</w:t>
            </w:r>
            <w:r w:rsidR="006E1E09" w:rsidRPr="00D04DA2">
              <w:rPr>
                <w:rFonts w:cstheme="minorHAnsi"/>
                <w:b/>
                <w:bCs/>
                <w:color w:val="FF0000"/>
                <w:sz w:val="20"/>
                <w:szCs w:val="20"/>
              </w:rPr>
              <w:t xml:space="preserve"> is not currently available in an editable format.</w:t>
            </w:r>
          </w:p>
        </w:tc>
      </w:tr>
      <w:tr w:rsidR="00500C09" w:rsidRPr="00D04DA2" w14:paraId="40CD5D45"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05DCFC76" w14:textId="23D145F3" w:rsidR="00E5474F" w:rsidRPr="00D04DA2" w:rsidRDefault="4E1BF8C6"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5</w:t>
            </w:r>
            <w:r w:rsidR="00C93770">
              <w:rPr>
                <w:rFonts w:cstheme="minorHAnsi"/>
                <w:color w:val="000000" w:themeColor="text1"/>
                <w:sz w:val="20"/>
                <w:szCs w:val="20"/>
              </w:rPr>
              <w:t>3</w:t>
            </w:r>
          </w:p>
        </w:tc>
        <w:tc>
          <w:tcPr>
            <w:tcW w:w="1341" w:type="dxa"/>
            <w:tcBorders>
              <w:top w:val="single" w:sz="4" w:space="0" w:color="auto"/>
              <w:left w:val="single" w:sz="4" w:space="0" w:color="auto"/>
              <w:bottom w:val="single" w:sz="4" w:space="0" w:color="auto"/>
              <w:right w:val="nil"/>
            </w:tcBorders>
            <w:shd w:val="clear" w:color="auto" w:fill="auto"/>
          </w:tcPr>
          <w:p w14:paraId="09CDF9F6"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Trading across borders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DFB0398"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61C5C505" w14:textId="43FFB0E7" w:rsidR="00E5474F" w:rsidRPr="00D04DA2" w:rsidRDefault="00480C41" w:rsidP="00D04DA2">
            <w:pPr>
              <w:spacing w:after="0" w:line="240" w:lineRule="auto"/>
              <w:contextualSpacing/>
              <w:rPr>
                <w:rFonts w:cstheme="minorHAnsi"/>
                <w:color w:val="000000"/>
                <w:sz w:val="20"/>
                <w:szCs w:val="20"/>
              </w:rPr>
            </w:pPr>
            <w:r w:rsidRPr="00D04DA2">
              <w:rPr>
                <w:rFonts w:cstheme="minorHAnsi"/>
                <w:color w:val="000000"/>
                <w:sz w:val="20"/>
                <w:szCs w:val="20"/>
              </w:rPr>
              <w:t>Q</w:t>
            </w:r>
            <w:r w:rsidR="00E5474F" w:rsidRPr="00D04DA2">
              <w:rPr>
                <w:rFonts w:cstheme="minorHAnsi"/>
                <w:color w:val="000000"/>
                <w:sz w:val="20"/>
                <w:szCs w:val="20"/>
              </w:rPr>
              <w:t>uality of roads index</w:t>
            </w:r>
            <w:r w:rsidRPr="00D04DA2">
              <w:rPr>
                <w:rFonts w:cstheme="minorHAnsi"/>
                <w:color w:val="000000"/>
                <w:sz w:val="20"/>
                <w:szCs w:val="20"/>
              </w:rPr>
              <w:t xml:space="preserve"> (Global Competitiveness </w:t>
            </w:r>
            <w:r w:rsidR="002D7660">
              <w:rPr>
                <w:rFonts w:cstheme="minorHAnsi"/>
                <w:color w:val="000000"/>
                <w:sz w:val="20"/>
                <w:szCs w:val="20"/>
              </w:rPr>
              <w:t>Index</w:t>
            </w:r>
            <w:r w:rsidRPr="00D04DA2">
              <w:rPr>
                <w:rFonts w:cstheme="minorHAnsi"/>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2432BF" w14:textId="372C188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Score </w:t>
            </w:r>
            <w:r w:rsidR="002E4AB3" w:rsidRPr="00D04DA2">
              <w:rPr>
                <w:rFonts w:cstheme="minorHAnsi"/>
                <w:color w:val="000000"/>
                <w:sz w:val="20"/>
                <w:szCs w:val="20"/>
              </w:rPr>
              <w:t>of</w:t>
            </w:r>
            <w:r w:rsidR="00654EE6" w:rsidRPr="00D04DA2">
              <w:rPr>
                <w:rFonts w:cstheme="minorHAnsi"/>
                <w:color w:val="000000"/>
                <w:sz w:val="20"/>
                <w:szCs w:val="20"/>
              </w:rPr>
              <w:t xml:space="preserve"> 0</w:t>
            </w:r>
            <w:r w:rsidR="00851B2A" w:rsidRPr="00D04DA2">
              <w:rPr>
                <w:rFonts w:cstheme="minorHAnsi"/>
                <w:color w:val="000000"/>
                <w:sz w:val="20"/>
                <w:szCs w:val="20"/>
              </w:rPr>
              <w:t>-7</w:t>
            </w:r>
            <w:r w:rsidR="00D34879" w:rsidRPr="00D04DA2">
              <w:rPr>
                <w:rFonts w:cstheme="minorHAnsi"/>
                <w:color w:val="000000"/>
                <w:sz w:val="20"/>
                <w:szCs w:val="20"/>
              </w:rPr>
              <w:t xml:space="preserve"> (</w:t>
            </w:r>
            <w:r w:rsidR="00654EE6" w:rsidRPr="00D04DA2">
              <w:rPr>
                <w:rFonts w:cstheme="minorHAnsi"/>
                <w:color w:val="000000"/>
                <w:sz w:val="20"/>
                <w:szCs w:val="20"/>
              </w:rPr>
              <w:t>where</w:t>
            </w:r>
            <w:r w:rsidR="002045CB" w:rsidRPr="00D04DA2">
              <w:rPr>
                <w:rFonts w:cstheme="minorHAnsi"/>
                <w:color w:val="000000"/>
                <w:sz w:val="20"/>
                <w:szCs w:val="20"/>
              </w:rPr>
              <w:t xml:space="preserve"> </w:t>
            </w:r>
            <w:r w:rsidR="00654EE6" w:rsidRPr="00D04DA2">
              <w:rPr>
                <w:rFonts w:cstheme="minorHAnsi"/>
                <w:color w:val="000000"/>
                <w:sz w:val="20"/>
                <w:szCs w:val="20"/>
              </w:rPr>
              <w:t xml:space="preserve">0 indicates low </w:t>
            </w:r>
            <w:r w:rsidR="002045CB" w:rsidRPr="00D04DA2">
              <w:rPr>
                <w:rFonts w:cstheme="minorHAnsi"/>
                <w:color w:val="000000"/>
                <w:sz w:val="20"/>
                <w:szCs w:val="20"/>
              </w:rPr>
              <w:t>quality;</w:t>
            </w:r>
            <w:r w:rsidR="00654EE6" w:rsidRPr="00D04DA2">
              <w:rPr>
                <w:rFonts w:cstheme="minorHAnsi"/>
                <w:color w:val="000000"/>
                <w:sz w:val="20"/>
                <w:szCs w:val="20"/>
              </w:rPr>
              <w:t xml:space="preserve"> 7 indicates</w:t>
            </w:r>
            <w:r w:rsidR="00382150" w:rsidRPr="00D04DA2">
              <w:rPr>
                <w:rFonts w:cstheme="minorHAnsi"/>
                <w:color w:val="000000"/>
                <w:sz w:val="20"/>
                <w:szCs w:val="20"/>
              </w:rPr>
              <w:t xml:space="preserve"> high</w:t>
            </w:r>
            <w:r w:rsidR="002045CB" w:rsidRPr="00D04DA2">
              <w:rPr>
                <w:rFonts w:cstheme="minorHAnsi"/>
                <w:color w:val="000000"/>
                <w:sz w:val="20"/>
                <w:szCs w:val="20"/>
              </w:rPr>
              <w:t xml:space="preserve"> quality</w:t>
            </w:r>
            <w:r w:rsidR="00D34879" w:rsidRPr="00D04DA2">
              <w:rPr>
                <w:rFonts w:cstheme="minorHAnsi"/>
                <w:color w:val="000000"/>
                <w:sz w:val="20"/>
                <w:szCs w:val="20"/>
              </w:rPr>
              <w: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6BBB2BD" w14:textId="22C5C914"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World Economic Forum</w:t>
            </w:r>
            <w:r w:rsidR="002D7660">
              <w:rPr>
                <w:rFonts w:cstheme="minorHAnsi"/>
                <w:color w:val="000000"/>
                <w:sz w:val="20"/>
                <w:szCs w:val="20"/>
              </w:rPr>
              <w:t xml:space="preserve"> </w:t>
            </w:r>
            <w:r w:rsidR="002D7660">
              <w:rPr>
                <w:rFonts w:eastAsia="Times New Roman" w:cstheme="minorHAnsi"/>
                <w:color w:val="000000"/>
                <w:sz w:val="20"/>
                <w:szCs w:val="20"/>
              </w:rPr>
              <w:t>- Global Competitiveness Report</w:t>
            </w:r>
          </w:p>
        </w:tc>
        <w:tc>
          <w:tcPr>
            <w:tcW w:w="1341" w:type="dxa"/>
            <w:tcBorders>
              <w:top w:val="single" w:sz="4" w:space="0" w:color="auto"/>
              <w:left w:val="nil"/>
              <w:bottom w:val="single" w:sz="4" w:space="0" w:color="auto"/>
              <w:right w:val="single" w:sz="4" w:space="0" w:color="auto"/>
            </w:tcBorders>
            <w:shd w:val="clear" w:color="auto" w:fill="auto"/>
          </w:tcPr>
          <w:p w14:paraId="59C4BF1F" w14:textId="5000315E"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Non-governmental o</w:t>
            </w:r>
            <w:r w:rsidR="00D57FE3" w:rsidRPr="00D04DA2">
              <w:rPr>
                <w:rFonts w:cstheme="minorHAnsi"/>
                <w:color w:val="000000" w:themeColor="text1"/>
                <w:sz w:val="20"/>
                <w:szCs w:val="20"/>
              </w:rPr>
              <w:t>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BE4E685" w14:textId="09D069D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The indicator measures the quality (extensiveness and condition) of road infrastructure.</w:t>
            </w:r>
          </w:p>
          <w:p w14:paraId="476C697D" w14:textId="77777777" w:rsidR="00E5474F" w:rsidRPr="00D04DA2" w:rsidRDefault="00E5474F" w:rsidP="00D04DA2">
            <w:pPr>
              <w:spacing w:after="0" w:line="240" w:lineRule="auto"/>
              <w:contextualSpacing/>
              <w:rPr>
                <w:rFonts w:cstheme="minorHAnsi"/>
                <w:color w:val="000000"/>
                <w:sz w:val="20"/>
                <w:szCs w:val="20"/>
              </w:rPr>
            </w:pPr>
          </w:p>
        </w:tc>
        <w:tc>
          <w:tcPr>
            <w:tcW w:w="1485" w:type="dxa"/>
            <w:tcBorders>
              <w:top w:val="single" w:sz="4" w:space="0" w:color="auto"/>
              <w:left w:val="nil"/>
              <w:bottom w:val="single" w:sz="4" w:space="0" w:color="auto"/>
              <w:right w:val="single" w:sz="4" w:space="0" w:color="auto"/>
            </w:tcBorders>
          </w:tcPr>
          <w:p w14:paraId="627DD549" w14:textId="0F8312F6" w:rsidR="00E5474F" w:rsidRPr="00D04DA2" w:rsidRDefault="00A9773F" w:rsidP="00D04DA2">
            <w:pPr>
              <w:spacing w:after="0" w:line="240" w:lineRule="auto"/>
              <w:contextualSpacing/>
              <w:rPr>
                <w:rFonts w:cstheme="minorHAnsi"/>
                <w:color w:val="000000"/>
                <w:sz w:val="20"/>
                <w:szCs w:val="20"/>
              </w:rPr>
            </w:pPr>
            <w:r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517ACEA" w14:textId="51D138D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5151F2" w14:textId="1892B893" w:rsidR="00E5474F" w:rsidRPr="00D04DA2" w:rsidRDefault="00E5474F" w:rsidP="00D04DA2">
            <w:pPr>
              <w:spacing w:after="0" w:line="240" w:lineRule="auto"/>
              <w:contextualSpacing/>
              <w:rPr>
                <w:rFonts w:cstheme="minorHAnsi"/>
                <w:color w:val="000000"/>
                <w:sz w:val="20"/>
                <w:szCs w:val="20"/>
                <w:lang w:val="es-ES"/>
              </w:rPr>
            </w:pPr>
            <w:r w:rsidRPr="00D04DA2">
              <w:rPr>
                <w:rFonts w:cstheme="minorHAnsi"/>
                <w:color w:val="000000"/>
                <w:sz w:val="20"/>
                <w:szCs w:val="20"/>
              </w:rPr>
              <w:t>1</w:t>
            </w:r>
            <w:r w:rsidR="00F87935" w:rsidRPr="00D04DA2">
              <w:rPr>
                <w:rFonts w:cstheme="minorHAnsi"/>
                <w:color w:val="000000"/>
                <w:sz w:val="20"/>
                <w:szCs w:val="20"/>
              </w:rPr>
              <w:t>3</w:t>
            </w:r>
            <w:r w:rsidR="00854A7F" w:rsidRPr="00D04DA2">
              <w:rPr>
                <w:rFonts w:cstheme="minorHAnsi"/>
                <w:color w:val="000000"/>
                <w:sz w:val="20"/>
                <w:szCs w:val="20"/>
              </w:rPr>
              <w:t xml:space="preserve">9 </w:t>
            </w:r>
            <w:r w:rsidRPr="00D04DA2">
              <w:rPr>
                <w:rFonts w:cstheme="minorHAnsi"/>
                <w:color w:val="000000"/>
                <w:sz w:val="20"/>
                <w:szCs w:val="20"/>
              </w:rPr>
              <w:t>economies</w:t>
            </w:r>
          </w:p>
        </w:tc>
        <w:tc>
          <w:tcPr>
            <w:tcW w:w="1418" w:type="dxa"/>
            <w:tcBorders>
              <w:top w:val="single" w:sz="4" w:space="0" w:color="auto"/>
              <w:left w:val="single" w:sz="4" w:space="0" w:color="auto"/>
              <w:bottom w:val="single" w:sz="4" w:space="0" w:color="auto"/>
              <w:right w:val="single" w:sz="4" w:space="0" w:color="auto"/>
            </w:tcBorders>
          </w:tcPr>
          <w:p w14:paraId="0F55B459" w14:textId="12FE3A11" w:rsidR="00E5474F" w:rsidRPr="00D04DA2" w:rsidRDefault="00712D33" w:rsidP="00D04DA2">
            <w:pPr>
              <w:spacing w:after="0" w:line="240" w:lineRule="auto"/>
              <w:contextualSpacing/>
              <w:rPr>
                <w:rFonts w:cstheme="minorHAnsi"/>
                <w:color w:val="000000"/>
                <w:sz w:val="20"/>
                <w:szCs w:val="20"/>
              </w:rPr>
            </w:pPr>
            <w:r>
              <w:rPr>
                <w:rFonts w:cstheme="minorHAnsi"/>
                <w:color w:val="000000"/>
                <w:sz w:val="20"/>
                <w:szCs w:val="20"/>
              </w:rPr>
              <w:t>15 economies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0B5B41" w14:textId="459DE77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Annual</w:t>
            </w:r>
            <w:r w:rsidR="00A60E40" w:rsidRPr="00D04DA2">
              <w:rPr>
                <w:rFonts w:cstheme="minorHAnsi"/>
                <w:color w:val="000000"/>
                <w:sz w:val="20"/>
                <w:szCs w:val="20"/>
              </w:rPr>
              <w:t>.</w:t>
            </w:r>
          </w:p>
          <w:p w14:paraId="5FC21962" w14:textId="77777777" w:rsidR="00C008A7" w:rsidRPr="00D04DA2" w:rsidRDefault="00C008A7" w:rsidP="00D04DA2">
            <w:pPr>
              <w:spacing w:after="0" w:line="240" w:lineRule="auto"/>
              <w:contextualSpacing/>
              <w:rPr>
                <w:rFonts w:cstheme="minorHAnsi"/>
                <w:color w:val="000000"/>
                <w:sz w:val="20"/>
                <w:szCs w:val="20"/>
              </w:rPr>
            </w:pPr>
          </w:p>
          <w:p w14:paraId="02C16897" w14:textId="5CAC5439" w:rsidR="00E5474F" w:rsidRPr="00D04DA2" w:rsidRDefault="00CF7E15"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The indicator is published for </w:t>
            </w:r>
            <w:r w:rsidR="00DF4DB9" w:rsidRPr="00D04DA2">
              <w:rPr>
                <w:rFonts w:cstheme="minorHAnsi"/>
                <w:color w:val="000000"/>
                <w:sz w:val="20"/>
                <w:szCs w:val="20"/>
              </w:rPr>
              <w:t>2017-</w:t>
            </w:r>
            <w:r w:rsidR="00D041B5" w:rsidRPr="00D04DA2">
              <w:rPr>
                <w:rFonts w:cstheme="minorHAnsi"/>
                <w:color w:val="000000"/>
                <w:sz w:val="20"/>
                <w:szCs w:val="20"/>
              </w:rPr>
              <w:t>2019.</w:t>
            </w:r>
            <w:r w:rsidR="00885C24" w:rsidRPr="00D04DA2">
              <w:rPr>
                <w:rFonts w:cstheme="minorHAnsi"/>
                <w:color w:val="000000"/>
                <w:sz w:val="20"/>
                <w:szCs w:val="20"/>
              </w:rPr>
              <w:t xml:space="preserve"> </w:t>
            </w:r>
            <w:r w:rsidR="008B3556" w:rsidRPr="00D04DA2">
              <w:rPr>
                <w:rFonts w:cstheme="minorHAnsi"/>
                <w:color w:val="000000"/>
                <w:sz w:val="20"/>
                <w:szCs w:val="20"/>
              </w:rPr>
              <w:t>(</w:t>
            </w:r>
            <w:r w:rsidR="00885C24" w:rsidRPr="00D04DA2">
              <w:rPr>
                <w:rFonts w:cstheme="minorHAnsi"/>
                <w:color w:val="000000"/>
                <w:sz w:val="20"/>
                <w:szCs w:val="20"/>
              </w:rPr>
              <w:t xml:space="preserve">Other </w:t>
            </w:r>
            <w:r w:rsidR="00C554D3" w:rsidRPr="00D04DA2">
              <w:rPr>
                <w:rFonts w:cstheme="minorHAnsi"/>
                <w:color w:val="000000"/>
                <w:sz w:val="20"/>
                <w:szCs w:val="20"/>
              </w:rPr>
              <w:t>Global Competitiveness Reports did not include this index.</w:t>
            </w:r>
            <w:r w:rsidR="008B3556" w:rsidRPr="00D04DA2">
              <w:rPr>
                <w:rFonts w:cstheme="minorHAnsi"/>
                <w:color w:val="000000"/>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50D61AC2" w14:textId="5EAB5FFE" w:rsidR="00E5474F" w:rsidRPr="00D04DA2" w:rsidRDefault="00A7064E"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https://govdata360.worldbank.org/indicators/hb16043d6?country=BRA&amp;indicator=41362&amp;viz=line_chart&amp;years=2017,2019</w:t>
            </w:r>
            <w:r w:rsidRPr="00D04DA2" w:rsidDel="00A7064E">
              <w:rPr>
                <w:rFonts w:cstheme="minorHAnsi"/>
                <w:color w:val="0563C1"/>
                <w:sz w:val="20"/>
                <w:szCs w:val="20"/>
                <w:u w:val="single"/>
              </w:rPr>
              <w:t xml:space="preserve"> </w:t>
            </w:r>
          </w:p>
        </w:tc>
      </w:tr>
      <w:tr w:rsidR="00912FA5" w:rsidRPr="00D04DA2" w14:paraId="1A0ECC3C"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FFF2CC" w:themeFill="accent4" w:themeFillTint="33"/>
          </w:tcPr>
          <w:p w14:paraId="217FF3EA" w14:textId="65D67700" w:rsidR="00E5474F" w:rsidRPr="00D04DA2" w:rsidRDefault="495D3655"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5</w:t>
            </w:r>
            <w:r w:rsidR="00C93770">
              <w:rPr>
                <w:rFonts w:cstheme="minorHAnsi"/>
                <w:color w:val="000000" w:themeColor="text1"/>
                <w:sz w:val="20"/>
                <w:szCs w:val="20"/>
              </w:rPr>
              <w:t>4</w:t>
            </w:r>
          </w:p>
        </w:tc>
        <w:tc>
          <w:tcPr>
            <w:tcW w:w="1341" w:type="dxa"/>
            <w:tcBorders>
              <w:top w:val="single" w:sz="4" w:space="0" w:color="auto"/>
              <w:left w:val="single" w:sz="4" w:space="0" w:color="auto"/>
              <w:bottom w:val="single" w:sz="4" w:space="0" w:color="auto"/>
              <w:right w:val="nil"/>
            </w:tcBorders>
            <w:shd w:val="clear" w:color="auto" w:fill="FFF2CC" w:themeFill="accent4" w:themeFillTint="33"/>
          </w:tcPr>
          <w:p w14:paraId="44BD154D"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Enforcing contracts</w:t>
            </w:r>
          </w:p>
        </w:tc>
        <w:tc>
          <w:tcPr>
            <w:tcW w:w="134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E6F4C7"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Operating a business</w:t>
            </w:r>
          </w:p>
        </w:tc>
        <w:tc>
          <w:tcPr>
            <w:tcW w:w="1393" w:type="dxa"/>
            <w:tcBorders>
              <w:top w:val="single" w:sz="4" w:space="0" w:color="auto"/>
              <w:left w:val="single" w:sz="4" w:space="0" w:color="auto"/>
              <w:bottom w:val="single" w:sz="4" w:space="0" w:color="auto"/>
              <w:right w:val="nil"/>
            </w:tcBorders>
            <w:shd w:val="clear" w:color="auto" w:fill="FFF2CC" w:themeFill="accent4" w:themeFillTint="33"/>
            <w:noWrap/>
          </w:tcPr>
          <w:p w14:paraId="4B494CE9" w14:textId="2847D156"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Civil </w:t>
            </w:r>
            <w:r w:rsidR="00295548" w:rsidRPr="00D04DA2">
              <w:rPr>
                <w:rFonts w:cstheme="minorHAnsi"/>
                <w:color w:val="000000" w:themeColor="text1"/>
                <w:sz w:val="20"/>
                <w:szCs w:val="20"/>
              </w:rPr>
              <w:t>j</w:t>
            </w:r>
            <w:r w:rsidRPr="00D04DA2">
              <w:rPr>
                <w:rFonts w:cstheme="minorHAnsi"/>
                <w:color w:val="000000" w:themeColor="text1"/>
                <w:sz w:val="20"/>
                <w:szCs w:val="20"/>
              </w:rPr>
              <w:t>ustice</w:t>
            </w:r>
            <w:r w:rsidR="004B5C16" w:rsidRPr="00D04DA2">
              <w:rPr>
                <w:rFonts w:cstheme="minorHAnsi"/>
                <w:color w:val="000000" w:themeColor="text1"/>
                <w:sz w:val="20"/>
                <w:szCs w:val="20"/>
              </w:rPr>
              <w:t xml:space="preserve"> </w:t>
            </w:r>
            <w:r w:rsidR="00EC0BCB" w:rsidRPr="00D04DA2">
              <w:rPr>
                <w:rFonts w:cstheme="minorHAnsi"/>
                <w:color w:val="000000" w:themeColor="text1"/>
                <w:sz w:val="20"/>
                <w:szCs w:val="20"/>
              </w:rPr>
              <w:t>indicator</w:t>
            </w:r>
            <w:r w:rsidR="00402C02">
              <w:rPr>
                <w:rFonts w:cstheme="minorHAnsi"/>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185F95" w14:textId="249FD33A" w:rsidR="00E5474F" w:rsidRPr="00D04DA2" w:rsidRDefault="00037256" w:rsidP="00D04DA2">
            <w:pPr>
              <w:spacing w:after="0" w:line="240" w:lineRule="auto"/>
              <w:contextualSpacing/>
              <w:rPr>
                <w:rFonts w:cstheme="minorHAnsi"/>
                <w:color w:val="000000"/>
                <w:sz w:val="20"/>
                <w:szCs w:val="20"/>
              </w:rPr>
            </w:pPr>
            <w:r w:rsidRPr="00D04DA2">
              <w:rPr>
                <w:rFonts w:cstheme="minorHAnsi"/>
                <w:color w:val="000000"/>
                <w:sz w:val="20"/>
                <w:szCs w:val="20"/>
              </w:rPr>
              <w:t>S</w:t>
            </w:r>
            <w:r w:rsidR="001A5216" w:rsidRPr="00D04DA2">
              <w:rPr>
                <w:rFonts w:cstheme="minorHAnsi"/>
                <w:color w:val="000000"/>
                <w:sz w:val="20"/>
                <w:szCs w:val="20"/>
              </w:rPr>
              <w:t>core (0-1)</w:t>
            </w:r>
          </w:p>
        </w:tc>
        <w:tc>
          <w:tcPr>
            <w:tcW w:w="15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17C846" w14:textId="735BEAB3"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The World Justice Project </w:t>
            </w:r>
            <w:r w:rsidR="000D6E8D" w:rsidRPr="00D04DA2">
              <w:rPr>
                <w:rFonts w:cstheme="minorHAnsi"/>
                <w:color w:val="000000" w:themeColor="text1"/>
                <w:sz w:val="20"/>
                <w:szCs w:val="20"/>
              </w:rPr>
              <w:t xml:space="preserve">(WJP) - </w:t>
            </w:r>
            <w:r w:rsidRPr="00D04DA2">
              <w:rPr>
                <w:rFonts w:cstheme="minorHAnsi"/>
                <w:color w:val="000000" w:themeColor="text1"/>
                <w:sz w:val="20"/>
                <w:szCs w:val="20"/>
              </w:rPr>
              <w:t>Rule of Law Index</w:t>
            </w:r>
          </w:p>
        </w:tc>
        <w:tc>
          <w:tcPr>
            <w:tcW w:w="1341" w:type="dxa"/>
            <w:tcBorders>
              <w:top w:val="single" w:sz="4" w:space="0" w:color="auto"/>
              <w:left w:val="nil"/>
              <w:bottom w:val="single" w:sz="4" w:space="0" w:color="auto"/>
              <w:right w:val="single" w:sz="4" w:space="0" w:color="auto"/>
            </w:tcBorders>
            <w:shd w:val="clear" w:color="auto" w:fill="FFF2CC" w:themeFill="accent4" w:themeFillTint="33"/>
          </w:tcPr>
          <w:p w14:paraId="2B6AE38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Non-governmental organization</w:t>
            </w:r>
          </w:p>
        </w:tc>
        <w:tc>
          <w:tcPr>
            <w:tcW w:w="56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B2309D" w14:textId="29C082EC"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Th</w:t>
            </w:r>
            <w:r w:rsidR="0024103C" w:rsidRPr="00D04DA2">
              <w:rPr>
                <w:rFonts w:cstheme="minorHAnsi"/>
                <w:color w:val="000000"/>
                <w:sz w:val="20"/>
                <w:szCs w:val="20"/>
              </w:rPr>
              <w:t>e</w:t>
            </w:r>
            <w:r w:rsidRPr="00D04DA2">
              <w:rPr>
                <w:rFonts w:cstheme="minorHAnsi"/>
                <w:color w:val="000000"/>
                <w:sz w:val="20"/>
                <w:szCs w:val="20"/>
              </w:rPr>
              <w:t xml:space="preserve"> </w:t>
            </w:r>
            <w:r w:rsidR="0024103C" w:rsidRPr="00D04DA2">
              <w:rPr>
                <w:rFonts w:cstheme="minorHAnsi"/>
                <w:color w:val="000000"/>
                <w:sz w:val="20"/>
                <w:szCs w:val="20"/>
              </w:rPr>
              <w:t xml:space="preserve">civil justice </w:t>
            </w:r>
            <w:r w:rsidRPr="00D04DA2">
              <w:rPr>
                <w:rFonts w:cstheme="minorHAnsi"/>
                <w:color w:val="000000"/>
                <w:sz w:val="20"/>
                <w:szCs w:val="20"/>
              </w:rPr>
              <w:t>indicator measures whether ordinary people can resolve their grievances peacefully and effectively through the civil justice system. It measures whether civil justice systems are accessible and affordable as well as free of discrimination, corruption, and improper influence by public officials. It examines whether court proceedings are conducted without unreasonable delays and whether decisions are enforced effectively. It also measures the accessibility, impartiality, and effectiveness of alternative dispute resolution mechanisms.</w:t>
            </w:r>
          </w:p>
          <w:p w14:paraId="3E85261C" w14:textId="77777777" w:rsidR="00912FA5" w:rsidRPr="00D04DA2" w:rsidRDefault="00912FA5" w:rsidP="00D04DA2">
            <w:pPr>
              <w:spacing w:after="0" w:line="240" w:lineRule="auto"/>
              <w:contextualSpacing/>
              <w:rPr>
                <w:rFonts w:cstheme="minorHAnsi"/>
                <w:color w:val="000000"/>
                <w:sz w:val="20"/>
                <w:szCs w:val="20"/>
              </w:rPr>
            </w:pPr>
          </w:p>
          <w:p w14:paraId="34B0E17F" w14:textId="0105CAAD" w:rsidR="00912FA5" w:rsidRPr="00D04DA2" w:rsidRDefault="00912FA5" w:rsidP="00D04DA2">
            <w:pPr>
              <w:spacing w:after="0" w:line="240" w:lineRule="auto"/>
              <w:contextualSpacing/>
              <w:rPr>
                <w:rFonts w:cstheme="minorHAnsi"/>
                <w:color w:val="000000"/>
                <w:sz w:val="20"/>
                <w:szCs w:val="20"/>
              </w:rPr>
            </w:pPr>
            <w:r w:rsidRPr="00D04DA2">
              <w:rPr>
                <w:rFonts w:cstheme="minorHAnsi"/>
                <w:color w:val="000000"/>
                <w:sz w:val="20"/>
                <w:szCs w:val="20"/>
              </w:rPr>
              <w:t xml:space="preserve">It relies on two types of surveys: </w:t>
            </w:r>
            <w:r w:rsidR="00F2627E" w:rsidRPr="00D04DA2">
              <w:rPr>
                <w:rFonts w:cstheme="minorHAnsi"/>
                <w:color w:val="000000"/>
                <w:sz w:val="20"/>
                <w:szCs w:val="20"/>
              </w:rPr>
              <w:t>(</w:t>
            </w:r>
            <w:r w:rsidRPr="00D04DA2">
              <w:rPr>
                <w:rFonts w:cstheme="minorHAnsi"/>
                <w:color w:val="000000"/>
                <w:sz w:val="20"/>
                <w:szCs w:val="20"/>
              </w:rPr>
              <w:t xml:space="preserve">1) a General Population Poll; </w:t>
            </w:r>
            <w:r w:rsidR="00F2627E" w:rsidRPr="00D04DA2">
              <w:rPr>
                <w:rFonts w:cstheme="minorHAnsi"/>
                <w:color w:val="000000"/>
                <w:sz w:val="20"/>
                <w:szCs w:val="20"/>
              </w:rPr>
              <w:t>(</w:t>
            </w:r>
            <w:r w:rsidRPr="00D04DA2">
              <w:rPr>
                <w:rFonts w:cstheme="minorHAnsi"/>
                <w:color w:val="000000"/>
                <w:sz w:val="20"/>
                <w:szCs w:val="20"/>
              </w:rPr>
              <w:t>2) a series of Qualified Respondents’ Questionnaires (experts).</w:t>
            </w:r>
          </w:p>
          <w:p w14:paraId="66260AC9" w14:textId="11BE4074" w:rsidR="00EE4BFC" w:rsidRPr="00D04DA2" w:rsidRDefault="00EE4BFC" w:rsidP="00D04DA2">
            <w:pPr>
              <w:spacing w:after="0" w:line="240" w:lineRule="auto"/>
              <w:contextualSpacing/>
              <w:rPr>
                <w:rFonts w:cstheme="minorHAnsi"/>
                <w:color w:val="000000"/>
                <w:sz w:val="20"/>
                <w:szCs w:val="20"/>
              </w:rPr>
            </w:pPr>
          </w:p>
          <w:p w14:paraId="2BB47648" w14:textId="77777777" w:rsidR="00E2169D" w:rsidRPr="00D04DA2" w:rsidRDefault="0024103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c</w:t>
            </w:r>
            <w:r w:rsidR="00A5172C" w:rsidRPr="00D04DA2">
              <w:rPr>
                <w:rFonts w:cstheme="minorHAnsi"/>
                <w:color w:val="000000" w:themeColor="text1"/>
                <w:sz w:val="20"/>
                <w:szCs w:val="20"/>
              </w:rPr>
              <w:t xml:space="preserve">ivil </w:t>
            </w:r>
            <w:r w:rsidRPr="00D04DA2">
              <w:rPr>
                <w:rFonts w:cstheme="minorHAnsi"/>
                <w:color w:val="000000" w:themeColor="text1"/>
                <w:sz w:val="20"/>
                <w:szCs w:val="20"/>
              </w:rPr>
              <w:t>j</w:t>
            </w:r>
            <w:r w:rsidR="00A5172C" w:rsidRPr="00D04DA2">
              <w:rPr>
                <w:rFonts w:cstheme="minorHAnsi"/>
                <w:color w:val="000000" w:themeColor="text1"/>
                <w:sz w:val="20"/>
                <w:szCs w:val="20"/>
              </w:rPr>
              <w:t>ustice</w:t>
            </w:r>
            <w:r w:rsidRPr="00D04DA2">
              <w:rPr>
                <w:rFonts w:cstheme="minorHAnsi"/>
                <w:color w:val="000000" w:themeColor="text1"/>
                <w:sz w:val="20"/>
                <w:szCs w:val="20"/>
              </w:rPr>
              <w:t xml:space="preserve"> </w:t>
            </w:r>
            <w:r w:rsidR="001B3AB8" w:rsidRPr="00D04DA2">
              <w:rPr>
                <w:rFonts w:cstheme="minorHAnsi"/>
                <w:color w:val="000000" w:themeColor="text1"/>
                <w:sz w:val="20"/>
                <w:szCs w:val="20"/>
              </w:rPr>
              <w:t>in</w:t>
            </w:r>
            <w:r w:rsidRPr="00D04DA2">
              <w:rPr>
                <w:rFonts w:cstheme="minorHAnsi"/>
                <w:color w:val="000000" w:themeColor="text1"/>
                <w:sz w:val="20"/>
                <w:szCs w:val="20"/>
              </w:rPr>
              <w:t xml:space="preserve">dicator </w:t>
            </w:r>
            <w:r w:rsidR="00AB49B9" w:rsidRPr="00D04DA2">
              <w:rPr>
                <w:rFonts w:cstheme="minorHAnsi"/>
                <w:color w:val="000000" w:themeColor="text1"/>
                <w:sz w:val="20"/>
                <w:szCs w:val="20"/>
              </w:rPr>
              <w:t xml:space="preserve">is based on </w:t>
            </w:r>
            <w:r w:rsidR="004A2A76" w:rsidRPr="00D04DA2">
              <w:rPr>
                <w:rFonts w:cstheme="minorHAnsi"/>
                <w:color w:val="000000" w:themeColor="text1"/>
                <w:sz w:val="20"/>
                <w:szCs w:val="20"/>
              </w:rPr>
              <w:t xml:space="preserve">the following </w:t>
            </w:r>
            <w:r w:rsidR="00AB49B9" w:rsidRPr="00D04DA2">
              <w:rPr>
                <w:rFonts w:cstheme="minorHAnsi"/>
                <w:color w:val="000000" w:themeColor="text1"/>
                <w:sz w:val="20"/>
                <w:szCs w:val="20"/>
              </w:rPr>
              <w:t>7</w:t>
            </w:r>
            <w:r w:rsidR="0052732B" w:rsidRPr="00D04DA2">
              <w:rPr>
                <w:rFonts w:cstheme="minorHAnsi"/>
                <w:color w:val="000000" w:themeColor="text1"/>
                <w:sz w:val="20"/>
                <w:szCs w:val="20"/>
              </w:rPr>
              <w:t xml:space="preserve"> </w:t>
            </w:r>
            <w:r w:rsidR="00E56E5E" w:rsidRPr="00D04DA2">
              <w:rPr>
                <w:rFonts w:cstheme="minorHAnsi"/>
                <w:color w:val="000000" w:themeColor="text1"/>
                <w:sz w:val="20"/>
                <w:szCs w:val="20"/>
              </w:rPr>
              <w:t>components</w:t>
            </w:r>
            <w:r w:rsidR="0052732B" w:rsidRPr="00D04DA2">
              <w:rPr>
                <w:rFonts w:cstheme="minorHAnsi"/>
                <w:color w:val="000000" w:themeColor="text1"/>
                <w:sz w:val="20"/>
                <w:szCs w:val="20"/>
              </w:rPr>
              <w:t>:</w:t>
            </w:r>
          </w:p>
          <w:p w14:paraId="5730A17C" w14:textId="46AE275F"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People can access and afford civil justice</w:t>
            </w:r>
            <w:r w:rsidR="00F74037" w:rsidRPr="00D04DA2">
              <w:rPr>
                <w:rFonts w:cstheme="minorHAnsi"/>
                <w:color w:val="000000" w:themeColor="text1"/>
                <w:sz w:val="20"/>
                <w:szCs w:val="20"/>
              </w:rPr>
              <w:t>.</w:t>
            </w:r>
          </w:p>
          <w:p w14:paraId="7FAFF89F" w14:textId="06EE02DA"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Civil justice is free of discrimination</w:t>
            </w:r>
            <w:r w:rsidR="00F74037" w:rsidRPr="00D04DA2">
              <w:rPr>
                <w:rFonts w:cstheme="minorHAnsi"/>
                <w:color w:val="000000" w:themeColor="text1"/>
                <w:sz w:val="20"/>
                <w:szCs w:val="20"/>
              </w:rPr>
              <w:t>.</w:t>
            </w:r>
          </w:p>
          <w:p w14:paraId="1CE1DF27" w14:textId="5DC65836"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Civil justice is free of corruption</w:t>
            </w:r>
            <w:r w:rsidR="00F74037" w:rsidRPr="00D04DA2">
              <w:rPr>
                <w:rFonts w:cstheme="minorHAnsi"/>
                <w:color w:val="000000" w:themeColor="text1"/>
                <w:sz w:val="20"/>
                <w:szCs w:val="20"/>
              </w:rPr>
              <w:t>.</w:t>
            </w:r>
          </w:p>
          <w:p w14:paraId="203AAA85" w14:textId="73A44175"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Civil justice is free of improper government influence</w:t>
            </w:r>
            <w:r w:rsidR="00F74037" w:rsidRPr="00D04DA2">
              <w:rPr>
                <w:rFonts w:cstheme="minorHAnsi"/>
                <w:color w:val="000000" w:themeColor="text1"/>
                <w:sz w:val="20"/>
                <w:szCs w:val="20"/>
              </w:rPr>
              <w:t>.</w:t>
            </w:r>
          </w:p>
          <w:p w14:paraId="05AC7182" w14:textId="546EF04F"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Civil justice is not subject to unreasonable delay</w:t>
            </w:r>
            <w:r w:rsidR="00F74037" w:rsidRPr="00D04DA2">
              <w:rPr>
                <w:rFonts w:cstheme="minorHAnsi"/>
                <w:color w:val="000000" w:themeColor="text1"/>
                <w:sz w:val="20"/>
                <w:szCs w:val="20"/>
              </w:rPr>
              <w:t>.</w:t>
            </w:r>
          </w:p>
          <w:p w14:paraId="438B3CC0" w14:textId="5C29E5F5"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Civil justice is effectively enforced</w:t>
            </w:r>
            <w:r w:rsidR="00F74037" w:rsidRPr="00D04DA2">
              <w:rPr>
                <w:rFonts w:cstheme="minorHAnsi"/>
                <w:color w:val="000000" w:themeColor="text1"/>
                <w:sz w:val="20"/>
                <w:szCs w:val="20"/>
              </w:rPr>
              <w:t>.</w:t>
            </w:r>
          </w:p>
          <w:p w14:paraId="4FA67840" w14:textId="44CB687F" w:rsidR="00A5172C" w:rsidRPr="00D04DA2" w:rsidRDefault="00A5172C" w:rsidP="00D04DA2">
            <w:pPr>
              <w:pStyle w:val="ListParagraph"/>
              <w:numPr>
                <w:ilvl w:val="0"/>
                <w:numId w:val="12"/>
              </w:numPr>
              <w:spacing w:after="0" w:line="240" w:lineRule="auto"/>
              <w:rPr>
                <w:rFonts w:cstheme="minorHAnsi"/>
                <w:color w:val="000000"/>
                <w:sz w:val="20"/>
                <w:szCs w:val="20"/>
              </w:rPr>
            </w:pPr>
            <w:r w:rsidRPr="00D04DA2">
              <w:rPr>
                <w:rFonts w:cstheme="minorHAnsi"/>
                <w:color w:val="000000" w:themeColor="text1"/>
                <w:sz w:val="20"/>
                <w:szCs w:val="20"/>
              </w:rPr>
              <w:t>Alternative dispute resolution mechanisms are accessible, impartial, and effective</w:t>
            </w:r>
            <w:r w:rsidR="00F74037" w:rsidRPr="00D04DA2">
              <w:rPr>
                <w:rFonts w:cstheme="minorHAnsi"/>
                <w:color w:val="000000" w:themeColor="text1"/>
                <w:sz w:val="20"/>
                <w:szCs w:val="20"/>
              </w:rPr>
              <w:t>.</w:t>
            </w:r>
          </w:p>
          <w:p w14:paraId="1B804896" w14:textId="11BE4074" w:rsidR="00EE4BFC" w:rsidRPr="00D04DA2" w:rsidRDefault="00EE4BFC" w:rsidP="00D04DA2">
            <w:pPr>
              <w:spacing w:after="0" w:line="240" w:lineRule="auto"/>
              <w:contextualSpacing/>
              <w:rPr>
                <w:rFonts w:cstheme="minorHAnsi"/>
                <w:color w:val="000000"/>
                <w:sz w:val="20"/>
                <w:szCs w:val="20"/>
              </w:rPr>
            </w:pPr>
          </w:p>
          <w:p w14:paraId="55311FDD" w14:textId="1074BAF8" w:rsidR="00A5172C" w:rsidRPr="00D04DA2" w:rsidRDefault="00A5172C"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Each </w:t>
            </w:r>
            <w:r w:rsidR="00E56E5E" w:rsidRPr="00D04DA2">
              <w:rPr>
                <w:rFonts w:cstheme="minorHAnsi"/>
                <w:color w:val="000000" w:themeColor="text1"/>
                <w:sz w:val="20"/>
                <w:szCs w:val="20"/>
              </w:rPr>
              <w:t>component</w:t>
            </w:r>
            <w:r w:rsidRPr="00D04DA2">
              <w:rPr>
                <w:rFonts w:cstheme="minorHAnsi"/>
                <w:color w:val="000000" w:themeColor="text1"/>
                <w:sz w:val="20"/>
                <w:szCs w:val="20"/>
              </w:rPr>
              <w:t xml:space="preserve"> is scored 0-1</w:t>
            </w:r>
            <w:r w:rsidR="00F2627E" w:rsidRPr="00D04DA2">
              <w:rPr>
                <w:rFonts w:cstheme="minorHAnsi"/>
                <w:color w:val="000000" w:themeColor="text1"/>
                <w:sz w:val="20"/>
                <w:szCs w:val="20"/>
              </w:rPr>
              <w:t>.</w:t>
            </w:r>
            <w:r w:rsidRPr="00D04DA2">
              <w:rPr>
                <w:rFonts w:cstheme="minorHAnsi"/>
                <w:color w:val="000000" w:themeColor="text1"/>
                <w:sz w:val="20"/>
                <w:szCs w:val="20"/>
              </w:rPr>
              <w:t xml:space="preserve"> </w:t>
            </w:r>
            <w:r w:rsidR="00F2627E" w:rsidRPr="00D04DA2">
              <w:rPr>
                <w:rFonts w:cstheme="minorHAnsi"/>
                <w:color w:val="000000" w:themeColor="text1"/>
                <w:sz w:val="20"/>
                <w:szCs w:val="20"/>
              </w:rPr>
              <w:t>Th</w:t>
            </w:r>
            <w:r w:rsidRPr="00D04DA2">
              <w:rPr>
                <w:rFonts w:cstheme="minorHAnsi"/>
                <w:color w:val="000000" w:themeColor="text1"/>
                <w:sz w:val="20"/>
                <w:szCs w:val="20"/>
              </w:rPr>
              <w:t xml:space="preserve">e score </w:t>
            </w:r>
            <w:r w:rsidR="00E56E5E" w:rsidRPr="00D04DA2">
              <w:rPr>
                <w:rFonts w:cstheme="minorHAnsi"/>
                <w:color w:val="000000" w:themeColor="text1"/>
                <w:sz w:val="20"/>
                <w:szCs w:val="20"/>
              </w:rPr>
              <w:t xml:space="preserve">for civil justice indicator </w:t>
            </w:r>
            <w:r w:rsidRPr="00D04DA2">
              <w:rPr>
                <w:rFonts w:cstheme="minorHAnsi"/>
                <w:color w:val="000000" w:themeColor="text1"/>
                <w:sz w:val="20"/>
                <w:szCs w:val="20"/>
              </w:rPr>
              <w:t xml:space="preserve">is the simple average of those </w:t>
            </w:r>
            <w:r w:rsidR="00F2627E" w:rsidRPr="00D04DA2">
              <w:rPr>
                <w:rFonts w:cstheme="minorHAnsi"/>
                <w:color w:val="000000" w:themeColor="text1"/>
                <w:sz w:val="20"/>
                <w:szCs w:val="20"/>
              </w:rPr>
              <w:t xml:space="preserve">component </w:t>
            </w:r>
            <w:r w:rsidRPr="00D04DA2">
              <w:rPr>
                <w:rFonts w:cstheme="minorHAnsi"/>
                <w:color w:val="000000" w:themeColor="text1"/>
                <w:sz w:val="20"/>
                <w:szCs w:val="20"/>
              </w:rPr>
              <w:t>scores.</w:t>
            </w:r>
          </w:p>
          <w:p w14:paraId="457E8A7D" w14:textId="77777777" w:rsidR="00A5172C" w:rsidRPr="00D04DA2" w:rsidRDefault="00A5172C" w:rsidP="00D04DA2">
            <w:pPr>
              <w:spacing w:after="0" w:line="240" w:lineRule="auto"/>
              <w:contextualSpacing/>
              <w:rPr>
                <w:rFonts w:cstheme="minorHAnsi"/>
                <w:color w:val="000000"/>
                <w:sz w:val="20"/>
                <w:szCs w:val="20"/>
              </w:rPr>
            </w:pPr>
          </w:p>
          <w:p w14:paraId="47FED94D" w14:textId="59DFC044" w:rsidR="0054353D" w:rsidRPr="00D04DA2" w:rsidRDefault="00EE4BF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Please note </w:t>
            </w:r>
            <w:r w:rsidR="24DF0B0C" w:rsidRPr="00D04DA2">
              <w:rPr>
                <w:rFonts w:cstheme="minorHAnsi"/>
                <w:color w:val="000000" w:themeColor="text1"/>
                <w:sz w:val="20"/>
                <w:szCs w:val="20"/>
              </w:rPr>
              <w:t xml:space="preserve">also </w:t>
            </w:r>
            <w:r w:rsidRPr="00D04DA2">
              <w:rPr>
                <w:rFonts w:cstheme="minorHAnsi"/>
                <w:color w:val="000000" w:themeColor="text1"/>
                <w:sz w:val="20"/>
                <w:szCs w:val="20"/>
              </w:rPr>
              <w:t xml:space="preserve">that scores across iterations of the </w:t>
            </w:r>
            <w:r w:rsidR="00E56E5E" w:rsidRPr="00D04DA2">
              <w:rPr>
                <w:rFonts w:cstheme="minorHAnsi"/>
                <w:color w:val="000000"/>
                <w:sz w:val="20"/>
                <w:szCs w:val="20"/>
              </w:rPr>
              <w:t>Rule of Law</w:t>
            </w:r>
            <w:r w:rsidR="005A190B" w:rsidRPr="00D04DA2">
              <w:rPr>
                <w:rFonts w:cstheme="minorHAnsi"/>
                <w:color w:val="000000"/>
                <w:sz w:val="20"/>
                <w:szCs w:val="20"/>
              </w:rPr>
              <w:t xml:space="preserve"> Index </w:t>
            </w:r>
            <w:r w:rsidRPr="00D04DA2">
              <w:rPr>
                <w:rFonts w:cstheme="minorHAnsi"/>
                <w:color w:val="000000" w:themeColor="text1"/>
                <w:sz w:val="20"/>
                <w:szCs w:val="20"/>
              </w:rPr>
              <w:t>are not strictly comparable. This is primarily due to two reasons</w:t>
            </w:r>
            <w:r w:rsidR="0054353D" w:rsidRPr="00D04DA2">
              <w:rPr>
                <w:rFonts w:cstheme="minorHAnsi"/>
                <w:color w:val="000000" w:themeColor="text1"/>
                <w:sz w:val="20"/>
                <w:szCs w:val="20"/>
              </w:rPr>
              <w:t>:</w:t>
            </w:r>
          </w:p>
          <w:p w14:paraId="6982337E" w14:textId="77777777" w:rsidR="0054353D" w:rsidRPr="00D04DA2" w:rsidRDefault="00EE4BFC" w:rsidP="00D04DA2">
            <w:pPr>
              <w:pStyle w:val="ListParagraph"/>
              <w:numPr>
                <w:ilvl w:val="0"/>
                <w:numId w:val="16"/>
              </w:numPr>
              <w:spacing w:after="0" w:line="240" w:lineRule="auto"/>
              <w:rPr>
                <w:rFonts w:cstheme="minorHAnsi"/>
                <w:color w:val="000000" w:themeColor="text1"/>
                <w:sz w:val="20"/>
                <w:szCs w:val="20"/>
              </w:rPr>
            </w:pPr>
            <w:r w:rsidRPr="00D04DA2">
              <w:rPr>
                <w:rFonts w:cstheme="minorHAnsi"/>
                <w:color w:val="000000" w:themeColor="text1"/>
                <w:sz w:val="20"/>
                <w:szCs w:val="20"/>
              </w:rPr>
              <w:t>First, countries are scored relative to other countries in the sample. Ninety-seven (97) countries/jurisdictions were included in the 2012-2013 dataset. Ninety-nine (99) countries/jurisdictions were included in 2014. One hundred and two (102) countries/jurisdictions were included in 2015. One hundred and thirteen (113) countries/jurisdictions were included in 2016 and 2017-2018. One hundred and twenty-six (126) countries/jurisdictions are included in 2019. One hundred and twenty-eight (128) countries/jurisdictions are included in 2020.</w:t>
            </w:r>
          </w:p>
          <w:p w14:paraId="1F79CC0A" w14:textId="77777777" w:rsidR="0054353D" w:rsidRPr="00D04DA2" w:rsidRDefault="0054353D" w:rsidP="00D04DA2">
            <w:pPr>
              <w:pStyle w:val="ListParagraph"/>
              <w:spacing w:after="0" w:line="240" w:lineRule="auto"/>
              <w:rPr>
                <w:rFonts w:cstheme="minorHAnsi"/>
                <w:color w:val="000000" w:themeColor="text1"/>
                <w:sz w:val="20"/>
                <w:szCs w:val="20"/>
              </w:rPr>
            </w:pPr>
          </w:p>
          <w:p w14:paraId="5702ED24" w14:textId="4BEEB3F0" w:rsidR="00E5474F" w:rsidRPr="00D04DA2" w:rsidRDefault="04F85B93" w:rsidP="00D04DA2">
            <w:pPr>
              <w:pStyle w:val="ListParagraph"/>
              <w:numPr>
                <w:ilvl w:val="0"/>
                <w:numId w:val="16"/>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Second, the construction of the </w:t>
            </w:r>
            <w:r w:rsidR="1AFF5EC3" w:rsidRPr="00D04DA2">
              <w:rPr>
                <w:rFonts w:cstheme="minorHAnsi"/>
                <w:color w:val="000000" w:themeColor="text1"/>
                <w:sz w:val="20"/>
                <w:szCs w:val="20"/>
              </w:rPr>
              <w:t xml:space="preserve">composite </w:t>
            </w:r>
            <w:r w:rsidRPr="00D04DA2">
              <w:rPr>
                <w:rFonts w:cstheme="minorHAnsi"/>
                <w:color w:val="000000" w:themeColor="text1"/>
                <w:sz w:val="20"/>
                <w:szCs w:val="20"/>
              </w:rPr>
              <w:t>indicator</w:t>
            </w:r>
            <w:r w:rsidR="1C7E683D" w:rsidRPr="00D04DA2">
              <w:rPr>
                <w:rFonts w:cstheme="minorHAnsi"/>
                <w:color w:val="000000" w:themeColor="text1"/>
                <w:sz w:val="20"/>
                <w:szCs w:val="20"/>
              </w:rPr>
              <w:t xml:space="preserve"> was slightly</w:t>
            </w:r>
            <w:r w:rsidR="68B33A77" w:rsidRPr="00D04DA2">
              <w:rPr>
                <w:rFonts w:cstheme="minorHAnsi"/>
                <w:color w:val="000000" w:themeColor="text1"/>
                <w:sz w:val="20"/>
                <w:szCs w:val="20"/>
              </w:rPr>
              <w:t xml:space="preserve"> revised in 2014, as one question on the fourth component “Civil system is free of improper government influence” was removed.</w:t>
            </w:r>
          </w:p>
        </w:tc>
        <w:tc>
          <w:tcPr>
            <w:tcW w:w="1485" w:type="dxa"/>
            <w:tcBorders>
              <w:top w:val="single" w:sz="4" w:space="0" w:color="auto"/>
              <w:left w:val="nil"/>
              <w:bottom w:val="single" w:sz="4" w:space="0" w:color="auto"/>
              <w:right w:val="single" w:sz="4" w:space="0" w:color="auto"/>
            </w:tcBorders>
            <w:shd w:val="clear" w:color="auto" w:fill="FFF2CC" w:themeFill="accent4" w:themeFillTint="33"/>
          </w:tcPr>
          <w:p w14:paraId="6EE40F2E" w14:textId="583C3F9C" w:rsidR="00E5474F" w:rsidRPr="00D04DA2" w:rsidRDefault="003C35EC" w:rsidP="00D04DA2">
            <w:pPr>
              <w:spacing w:after="0" w:line="240" w:lineRule="auto"/>
              <w:contextualSpacing/>
              <w:rPr>
                <w:rFonts w:cstheme="minorHAnsi"/>
                <w:color w:val="000000"/>
                <w:sz w:val="20"/>
                <w:szCs w:val="20"/>
              </w:rPr>
            </w:pPr>
            <w:r w:rsidRPr="00D04DA2">
              <w:rPr>
                <w:rFonts w:cstheme="minorHAnsi"/>
                <w:color w:val="000000"/>
                <w:sz w:val="20"/>
                <w:szCs w:val="20"/>
              </w:rPr>
              <w:t>Policy metrics</w:t>
            </w:r>
            <w:r w:rsidR="0082454F"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505D64" w14:textId="2072CB0A"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Global</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1B7A99" w14:textId="39863331"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128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097FB4" w14:textId="45CA9084" w:rsidR="00E5474F" w:rsidRPr="00D04DA2" w:rsidRDefault="00B465D4" w:rsidP="00D04DA2">
            <w:pPr>
              <w:spacing w:after="0" w:line="240" w:lineRule="auto"/>
              <w:contextualSpacing/>
              <w:rPr>
                <w:rFonts w:cstheme="minorHAnsi"/>
                <w:color w:val="000000"/>
                <w:sz w:val="20"/>
                <w:szCs w:val="20"/>
              </w:rPr>
            </w:pPr>
            <w:r w:rsidRPr="00D04DA2">
              <w:rPr>
                <w:rFonts w:cstheme="minorHAnsi"/>
                <w:color w:val="000000"/>
                <w:sz w:val="20"/>
                <w:szCs w:val="20"/>
              </w:rPr>
              <w:t>16 economies</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DF0E3E" w14:textId="13F31665"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Annual</w:t>
            </w:r>
            <w:r w:rsidR="00093515" w:rsidRPr="00D04DA2">
              <w:rPr>
                <w:rFonts w:cstheme="minorHAnsi"/>
                <w:color w:val="000000"/>
                <w:sz w:val="20"/>
                <w:szCs w:val="20"/>
              </w:rPr>
              <w:t>.</w:t>
            </w:r>
            <w:r w:rsidR="00B1142B" w:rsidRPr="00D04DA2">
              <w:rPr>
                <w:rFonts w:cstheme="minorHAnsi"/>
                <w:color w:val="000000"/>
                <w:sz w:val="20"/>
                <w:szCs w:val="20"/>
              </w:rPr>
              <w:t xml:space="preserve"> </w:t>
            </w:r>
            <w:r w:rsidR="00B1142B" w:rsidRPr="00D04DA2">
              <w:rPr>
                <w:rFonts w:cstheme="minorHAnsi"/>
                <w:color w:val="000000" w:themeColor="text1"/>
                <w:sz w:val="20"/>
                <w:szCs w:val="20"/>
              </w:rPr>
              <w:t xml:space="preserve">Note there was a </w:t>
            </w:r>
            <w:r w:rsidR="00807A46" w:rsidRPr="00D04DA2">
              <w:rPr>
                <w:rFonts w:cstheme="minorHAnsi"/>
                <w:color w:val="000000" w:themeColor="text1"/>
                <w:sz w:val="20"/>
                <w:szCs w:val="20"/>
              </w:rPr>
              <w:t>double issue</w:t>
            </w:r>
            <w:r w:rsidR="00B1142B" w:rsidRPr="00D04DA2">
              <w:rPr>
                <w:rFonts w:cstheme="minorHAnsi"/>
                <w:color w:val="000000" w:themeColor="text1"/>
                <w:sz w:val="20"/>
                <w:szCs w:val="20"/>
              </w:rPr>
              <w:t xml:space="preserve"> in 2018 </w:t>
            </w:r>
            <w:r w:rsidR="00807A46" w:rsidRPr="00D04DA2">
              <w:rPr>
                <w:rFonts w:cstheme="minorHAnsi"/>
                <w:color w:val="000000" w:themeColor="text1"/>
                <w:sz w:val="20"/>
                <w:szCs w:val="20"/>
              </w:rPr>
              <w:t xml:space="preserve">for </w:t>
            </w:r>
            <w:r w:rsidR="00B1142B" w:rsidRPr="00D04DA2">
              <w:rPr>
                <w:rFonts w:cstheme="minorHAnsi"/>
                <w:color w:val="000000" w:themeColor="text1"/>
                <w:sz w:val="20"/>
                <w:szCs w:val="20"/>
              </w:rPr>
              <w:t>2017-</w:t>
            </w:r>
            <w:r w:rsidR="00093515" w:rsidRPr="00D04DA2">
              <w:rPr>
                <w:rFonts w:cstheme="minorHAnsi"/>
                <w:color w:val="000000" w:themeColor="text1"/>
                <w:sz w:val="20"/>
                <w:szCs w:val="20"/>
              </w:rPr>
              <w:t>20</w:t>
            </w:r>
            <w:r w:rsidR="00B1142B" w:rsidRPr="00D04DA2">
              <w:rPr>
                <w:rFonts w:cstheme="minorHAnsi"/>
                <w:color w:val="000000" w:themeColor="text1"/>
                <w:sz w:val="20"/>
                <w:szCs w:val="20"/>
              </w:rPr>
              <w:t>18</w:t>
            </w:r>
            <w:r w:rsidR="00093515" w:rsidRPr="00D04DA2">
              <w:rPr>
                <w:rFonts w:cstheme="minorHAnsi"/>
                <w:color w:val="000000" w:themeColor="text1"/>
                <w:sz w:val="20"/>
                <w:szCs w:val="20"/>
              </w:rPr>
              <w:t>.</w:t>
            </w:r>
          </w:p>
          <w:p w14:paraId="6DC4479D" w14:textId="77777777" w:rsidR="000D6E8D" w:rsidRPr="00D04DA2" w:rsidRDefault="000D6E8D" w:rsidP="00D04DA2">
            <w:pPr>
              <w:spacing w:after="0" w:line="240" w:lineRule="auto"/>
              <w:contextualSpacing/>
              <w:rPr>
                <w:rFonts w:cstheme="minorHAnsi"/>
                <w:color w:val="000000"/>
                <w:sz w:val="20"/>
                <w:szCs w:val="20"/>
              </w:rPr>
            </w:pPr>
          </w:p>
          <w:p w14:paraId="5D3B4567" w14:textId="10EF815C" w:rsidR="000D6E8D" w:rsidRPr="00D04DA2" w:rsidRDefault="000D6E8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The indicator is published for </w:t>
            </w:r>
            <w:r w:rsidR="00190A2A" w:rsidRPr="00D04DA2">
              <w:rPr>
                <w:rFonts w:cstheme="minorHAnsi"/>
                <w:color w:val="000000" w:themeColor="text1"/>
                <w:sz w:val="20"/>
                <w:szCs w:val="20"/>
              </w:rPr>
              <w:t>2013-2020</w:t>
            </w:r>
            <w:r w:rsidR="009E44AF"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FFF2CC" w:themeFill="accent4" w:themeFillTint="33"/>
          </w:tcPr>
          <w:p w14:paraId="45E26A24" w14:textId="4F425F38" w:rsidR="00E5474F" w:rsidRPr="00D04DA2" w:rsidRDefault="00A63255" w:rsidP="00D04DA2">
            <w:pPr>
              <w:spacing w:after="0" w:line="240" w:lineRule="auto"/>
              <w:contextualSpacing/>
              <w:rPr>
                <w:rFonts w:cstheme="minorHAnsi"/>
                <w:color w:val="0563C1"/>
                <w:sz w:val="20"/>
                <w:szCs w:val="20"/>
                <w:u w:val="single"/>
              </w:rPr>
            </w:pPr>
            <w:r w:rsidRPr="00D04DA2">
              <w:rPr>
                <w:rFonts w:cstheme="minorHAnsi"/>
                <w:color w:val="0563C1"/>
                <w:sz w:val="20"/>
                <w:szCs w:val="20"/>
                <w:u w:val="single"/>
              </w:rPr>
              <w:t>https://worldjusticeproject.org/our-work/research-and-data/wjp-rule-law-index-2020/current-historical-data</w:t>
            </w:r>
          </w:p>
        </w:tc>
      </w:tr>
      <w:tr w:rsidR="00500C09" w:rsidRPr="00D04DA2" w14:paraId="03672275"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44BDD584" w14:textId="6E2C2CAB" w:rsidR="00E5474F" w:rsidRPr="00D04DA2" w:rsidRDefault="515A387B"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lastRenderedPageBreak/>
              <w:t>5</w:t>
            </w:r>
            <w:r w:rsidR="00C93770">
              <w:rPr>
                <w:rFonts w:cstheme="minorHAnsi"/>
                <w:color w:val="000000" w:themeColor="text1"/>
                <w:sz w:val="20"/>
                <w:szCs w:val="20"/>
              </w:rPr>
              <w:t>5</w:t>
            </w:r>
          </w:p>
        </w:tc>
        <w:tc>
          <w:tcPr>
            <w:tcW w:w="1341" w:type="dxa"/>
            <w:tcBorders>
              <w:top w:val="single" w:sz="4" w:space="0" w:color="auto"/>
              <w:left w:val="single" w:sz="4" w:space="0" w:color="auto"/>
              <w:bottom w:val="single" w:sz="4" w:space="0" w:color="auto"/>
              <w:right w:val="nil"/>
            </w:tcBorders>
            <w:shd w:val="clear" w:color="auto" w:fill="auto"/>
          </w:tcPr>
          <w:p w14:paraId="41B4F9E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Resolving insolvency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6E2E6CE"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Closing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9BD6445" w14:textId="532DF26C" w:rsidR="00E5474F" w:rsidRPr="00D04DA2" w:rsidRDefault="009D6B0D"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Treatment of failed </w:t>
            </w:r>
            <w:r w:rsidR="000A6FC1" w:rsidRPr="00D04DA2">
              <w:rPr>
                <w:rFonts w:cstheme="minorHAnsi"/>
                <w:color w:val="000000" w:themeColor="text1"/>
                <w:sz w:val="20"/>
                <w:szCs w:val="20"/>
              </w:rPr>
              <w:t>entrepreneur</w:t>
            </w:r>
            <w:r w:rsidR="00F94244" w:rsidRPr="00D04DA2">
              <w:rPr>
                <w:rFonts w:cstheme="minorHAnsi"/>
                <w:color w:val="000000" w:themeColor="text1"/>
                <w:sz w:val="20"/>
                <w:szCs w:val="20"/>
              </w:rPr>
              <w:t>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BC996F" w14:textId="54708FDD" w:rsidR="00E5474F" w:rsidRPr="00D04DA2" w:rsidRDefault="00037256"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S</w:t>
            </w:r>
            <w:r w:rsidR="002158B0" w:rsidRPr="00D04DA2">
              <w:rPr>
                <w:rFonts w:cstheme="minorHAnsi"/>
                <w:color w:val="000000"/>
                <w:sz w:val="20"/>
                <w:szCs w:val="20"/>
              </w:rPr>
              <w:t>core (0-2)</w:t>
            </w:r>
          </w:p>
          <w:p w14:paraId="4B572684" w14:textId="77777777" w:rsidR="00E5474F" w:rsidRPr="00D04DA2" w:rsidRDefault="00E5474F" w:rsidP="00D04DA2">
            <w:pPr>
              <w:spacing w:after="0" w:line="240" w:lineRule="auto"/>
              <w:contextualSpacing/>
              <w:rPr>
                <w:rFonts w:cstheme="minorHAnsi"/>
                <w:color w:val="000000"/>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6D8512"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OECD - Economics Department Project on Exit Polices and Economic Growth</w:t>
            </w:r>
          </w:p>
          <w:p w14:paraId="2996EBB1" w14:textId="77777777" w:rsidR="00E5474F" w:rsidRPr="00D04DA2" w:rsidRDefault="00E5474F" w:rsidP="00D04DA2">
            <w:pPr>
              <w:spacing w:after="0" w:line="240" w:lineRule="auto"/>
              <w:contextualSpacing/>
              <w:rPr>
                <w:rFonts w:cstheme="minorHAnsi"/>
                <w:color w:val="000000"/>
                <w:sz w:val="20"/>
                <w:szCs w:val="20"/>
              </w:rPr>
            </w:pPr>
          </w:p>
        </w:tc>
        <w:tc>
          <w:tcPr>
            <w:tcW w:w="1341" w:type="dxa"/>
            <w:tcBorders>
              <w:top w:val="single" w:sz="4" w:space="0" w:color="auto"/>
              <w:left w:val="nil"/>
              <w:bottom w:val="single" w:sz="4" w:space="0" w:color="auto"/>
              <w:right w:val="single" w:sz="4" w:space="0" w:color="auto"/>
            </w:tcBorders>
            <w:shd w:val="clear" w:color="auto" w:fill="auto"/>
          </w:tcPr>
          <w:p w14:paraId="1DDCAB36" w14:textId="05D8CAE9"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p w14:paraId="35A0FC27" w14:textId="77777777" w:rsidR="00E5474F" w:rsidRPr="00D04DA2" w:rsidRDefault="00E5474F" w:rsidP="00D04DA2">
            <w:pPr>
              <w:spacing w:after="0" w:line="240" w:lineRule="auto"/>
              <w:contextualSpacing/>
              <w:rPr>
                <w:rFonts w:cstheme="minorHAnsi"/>
                <w:color w:val="000000" w:themeColor="text1"/>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707A865" w14:textId="7FADEFE8" w:rsidR="002A33A8" w:rsidRPr="00D04DA2" w:rsidRDefault="002A33A8"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w:t>
            </w:r>
            <w:r w:rsidR="004A2A76" w:rsidRPr="00D04DA2">
              <w:rPr>
                <w:rFonts w:cstheme="minorHAnsi"/>
                <w:color w:val="000000" w:themeColor="text1"/>
                <w:sz w:val="20"/>
                <w:szCs w:val="20"/>
              </w:rPr>
              <w:t>he t</w:t>
            </w:r>
            <w:r w:rsidRPr="00D04DA2">
              <w:rPr>
                <w:rFonts w:cstheme="minorHAnsi"/>
                <w:color w:val="000000" w:themeColor="text1"/>
                <w:sz w:val="20"/>
                <w:szCs w:val="20"/>
              </w:rPr>
              <w:t xml:space="preserve">reatment of failed </w:t>
            </w:r>
            <w:proofErr w:type="gramStart"/>
            <w:r w:rsidRPr="00D04DA2">
              <w:rPr>
                <w:rFonts w:cstheme="minorHAnsi"/>
                <w:color w:val="000000" w:themeColor="text1"/>
                <w:sz w:val="20"/>
                <w:szCs w:val="20"/>
              </w:rPr>
              <w:t>entrepreneurs</w:t>
            </w:r>
            <w:proofErr w:type="gramEnd"/>
            <w:r w:rsidRPr="00D04DA2">
              <w:rPr>
                <w:rFonts w:cstheme="minorHAnsi"/>
                <w:color w:val="000000" w:themeColor="text1"/>
                <w:sz w:val="20"/>
                <w:szCs w:val="20"/>
              </w:rPr>
              <w:t xml:space="preserve"> </w:t>
            </w:r>
            <w:r w:rsidR="004A2A76" w:rsidRPr="00D04DA2">
              <w:rPr>
                <w:rFonts w:cstheme="minorHAnsi"/>
                <w:color w:val="000000" w:themeColor="text1"/>
                <w:sz w:val="20"/>
                <w:szCs w:val="20"/>
              </w:rPr>
              <w:t xml:space="preserve">indicator </w:t>
            </w:r>
            <w:r w:rsidRPr="00D04DA2">
              <w:rPr>
                <w:rFonts w:cstheme="minorHAnsi"/>
                <w:color w:val="000000" w:themeColor="text1"/>
                <w:sz w:val="20"/>
                <w:szCs w:val="20"/>
              </w:rPr>
              <w:t xml:space="preserve">is based on the </w:t>
            </w:r>
            <w:r w:rsidR="005A190B" w:rsidRPr="00D04DA2">
              <w:rPr>
                <w:rFonts w:cstheme="minorHAnsi"/>
                <w:color w:val="000000" w:themeColor="text1"/>
                <w:sz w:val="20"/>
                <w:szCs w:val="20"/>
              </w:rPr>
              <w:t xml:space="preserve">following </w:t>
            </w:r>
            <w:r w:rsidRPr="00D04DA2">
              <w:rPr>
                <w:rFonts w:cstheme="minorHAnsi"/>
                <w:color w:val="000000" w:themeColor="text1"/>
                <w:sz w:val="20"/>
                <w:szCs w:val="20"/>
              </w:rPr>
              <w:t>2 components</w:t>
            </w:r>
            <w:r w:rsidR="005A190B" w:rsidRPr="00D04DA2">
              <w:rPr>
                <w:rFonts w:cstheme="minorHAnsi"/>
                <w:color w:val="000000" w:themeColor="text1"/>
                <w:sz w:val="20"/>
                <w:szCs w:val="20"/>
              </w:rPr>
              <w:t>:</w:t>
            </w:r>
          </w:p>
          <w:p w14:paraId="15A2E939" w14:textId="77777777" w:rsidR="002A33A8" w:rsidRPr="00D04DA2" w:rsidRDefault="002A33A8" w:rsidP="00D04DA2">
            <w:pPr>
              <w:spacing w:after="0" w:line="240" w:lineRule="auto"/>
              <w:contextualSpacing/>
              <w:rPr>
                <w:rFonts w:cstheme="minorHAnsi"/>
                <w:color w:val="000000" w:themeColor="text1"/>
                <w:sz w:val="20"/>
                <w:szCs w:val="20"/>
              </w:rPr>
            </w:pPr>
          </w:p>
          <w:p w14:paraId="64963D03" w14:textId="77777777" w:rsidR="00F94244" w:rsidRPr="00D04DA2" w:rsidRDefault="002A33A8" w:rsidP="00D04DA2">
            <w:pPr>
              <w:pStyle w:val="ListParagraph"/>
              <w:numPr>
                <w:ilvl w:val="0"/>
                <w:numId w:val="13"/>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Time to discharge: If discharge is not available, 40 years are allocated as a proxy for the working life of a typical worker following </w:t>
            </w:r>
            <w:proofErr w:type="spellStart"/>
            <w:r w:rsidRPr="00D04DA2">
              <w:rPr>
                <w:rFonts w:cstheme="minorHAnsi"/>
                <w:color w:val="000000" w:themeColor="text1"/>
                <w:sz w:val="20"/>
                <w:szCs w:val="20"/>
              </w:rPr>
              <w:t>Armour</w:t>
            </w:r>
            <w:proofErr w:type="spellEnd"/>
            <w:r w:rsidRPr="00D04DA2">
              <w:rPr>
                <w:rFonts w:cstheme="minorHAnsi"/>
                <w:color w:val="000000" w:themeColor="text1"/>
                <w:sz w:val="20"/>
                <w:szCs w:val="20"/>
              </w:rPr>
              <w:t xml:space="preserve"> and Cumming (2008). If discharge is available, based on the number of years to discharge, </w:t>
            </w:r>
            <w:r w:rsidR="00F2627E" w:rsidRPr="00D04DA2">
              <w:rPr>
                <w:rFonts w:cstheme="minorHAnsi"/>
                <w:color w:val="000000" w:themeColor="text1"/>
                <w:sz w:val="20"/>
                <w:szCs w:val="20"/>
              </w:rPr>
              <w:t xml:space="preserve">the component </w:t>
            </w:r>
            <w:r w:rsidRPr="00D04DA2">
              <w:rPr>
                <w:rFonts w:cstheme="minorHAnsi"/>
                <w:color w:val="000000" w:themeColor="text1"/>
                <w:sz w:val="20"/>
                <w:szCs w:val="20"/>
              </w:rPr>
              <w:t>takes the value 0 if the time to discharge is less than or equal to one year</w:t>
            </w:r>
            <w:r w:rsidR="00F2627E" w:rsidRPr="00D04DA2">
              <w:rPr>
                <w:rFonts w:cstheme="minorHAnsi"/>
                <w:color w:val="000000" w:themeColor="text1"/>
                <w:sz w:val="20"/>
                <w:szCs w:val="20"/>
              </w:rPr>
              <w:t>;</w:t>
            </w:r>
            <w:r w:rsidRPr="00D04DA2">
              <w:rPr>
                <w:rFonts w:cstheme="minorHAnsi"/>
                <w:color w:val="000000" w:themeColor="text1"/>
                <w:sz w:val="20"/>
                <w:szCs w:val="20"/>
              </w:rPr>
              <w:t xml:space="preserve"> 0.5 if the time to discharge is between one and three years</w:t>
            </w:r>
            <w:r w:rsidR="00F2627E" w:rsidRPr="00D04DA2">
              <w:rPr>
                <w:rFonts w:cstheme="minorHAnsi"/>
                <w:color w:val="000000" w:themeColor="text1"/>
                <w:sz w:val="20"/>
                <w:szCs w:val="20"/>
              </w:rPr>
              <w:t>;</w:t>
            </w:r>
            <w:r w:rsidRPr="00D04DA2">
              <w:rPr>
                <w:rFonts w:cstheme="minorHAnsi"/>
                <w:color w:val="000000" w:themeColor="text1"/>
                <w:sz w:val="20"/>
                <w:szCs w:val="20"/>
              </w:rPr>
              <w:t xml:space="preserve"> 1 if the time to discharge is greater than three years.</w:t>
            </w:r>
          </w:p>
          <w:p w14:paraId="0CE86466" w14:textId="77777777" w:rsidR="00F94244" w:rsidRPr="00D04DA2" w:rsidRDefault="00F94244" w:rsidP="00D04DA2">
            <w:pPr>
              <w:pStyle w:val="ListParagraph"/>
              <w:spacing w:after="0" w:line="240" w:lineRule="auto"/>
              <w:rPr>
                <w:rFonts w:cstheme="minorHAnsi"/>
                <w:color w:val="000000" w:themeColor="text1"/>
                <w:sz w:val="20"/>
                <w:szCs w:val="20"/>
              </w:rPr>
            </w:pPr>
          </w:p>
          <w:p w14:paraId="4FC6D394" w14:textId="21904728" w:rsidR="0013652D" w:rsidRPr="00D04DA2" w:rsidRDefault="002A33A8" w:rsidP="00D04DA2">
            <w:pPr>
              <w:pStyle w:val="ListParagraph"/>
              <w:numPr>
                <w:ilvl w:val="0"/>
                <w:numId w:val="13"/>
              </w:numPr>
              <w:spacing w:after="0" w:line="240" w:lineRule="auto"/>
              <w:rPr>
                <w:rFonts w:cstheme="minorHAnsi"/>
                <w:color w:val="000000" w:themeColor="text1"/>
                <w:sz w:val="20"/>
                <w:szCs w:val="20"/>
              </w:rPr>
            </w:pPr>
            <w:r w:rsidRPr="00D04DA2">
              <w:rPr>
                <w:rFonts w:cstheme="minorHAnsi"/>
                <w:color w:val="000000" w:themeColor="text1"/>
                <w:sz w:val="20"/>
                <w:szCs w:val="20"/>
              </w:rPr>
              <w:t>Exemption of assets: Th</w:t>
            </w:r>
            <w:r w:rsidR="00F2627E" w:rsidRPr="00D04DA2">
              <w:rPr>
                <w:rFonts w:cstheme="minorHAnsi"/>
                <w:color w:val="000000" w:themeColor="text1"/>
                <w:sz w:val="20"/>
                <w:szCs w:val="20"/>
              </w:rPr>
              <w:t>is</w:t>
            </w:r>
            <w:r w:rsidRPr="00D04DA2">
              <w:rPr>
                <w:rFonts w:cstheme="minorHAnsi"/>
                <w:color w:val="000000" w:themeColor="text1"/>
                <w:sz w:val="20"/>
                <w:szCs w:val="20"/>
              </w:rPr>
              <w:t xml:space="preserve"> </w:t>
            </w:r>
            <w:r w:rsidR="00F2627E" w:rsidRPr="00D04DA2">
              <w:rPr>
                <w:rFonts w:cstheme="minorHAnsi"/>
                <w:color w:val="000000" w:themeColor="text1"/>
                <w:sz w:val="20"/>
                <w:szCs w:val="20"/>
              </w:rPr>
              <w:t>component</w:t>
            </w:r>
            <w:r w:rsidRPr="00D04DA2">
              <w:rPr>
                <w:rFonts w:cstheme="minorHAnsi"/>
                <w:color w:val="000000" w:themeColor="text1"/>
                <w:sz w:val="20"/>
                <w:szCs w:val="20"/>
              </w:rPr>
              <w:t xml:space="preserve"> takes the value 0 if exemptions (pre-bankruptcy assets which are exempted from the bankrupt estate) are more generous than modest personal items and working equipment (e.g. the debtor’s house is exempted)</w:t>
            </w:r>
            <w:r w:rsidR="00F2627E" w:rsidRPr="00D04DA2">
              <w:rPr>
                <w:rFonts w:cstheme="minorHAnsi"/>
                <w:color w:val="000000" w:themeColor="text1"/>
                <w:sz w:val="20"/>
                <w:szCs w:val="20"/>
              </w:rPr>
              <w:t>;</w:t>
            </w:r>
            <w:r w:rsidRPr="00D04DA2">
              <w:rPr>
                <w:rFonts w:cstheme="minorHAnsi"/>
                <w:color w:val="000000" w:themeColor="text1"/>
                <w:sz w:val="20"/>
                <w:szCs w:val="20"/>
              </w:rPr>
              <w:t xml:space="preserve"> 0.5 if exemptions are restricted to only modest personal items (e.g. assets or income required to cover the debtor’s subsistence) and working equipment</w:t>
            </w:r>
            <w:r w:rsidR="00F2627E" w:rsidRPr="00D04DA2">
              <w:rPr>
                <w:rFonts w:cstheme="minorHAnsi"/>
                <w:color w:val="000000" w:themeColor="text1"/>
                <w:sz w:val="20"/>
                <w:szCs w:val="20"/>
              </w:rPr>
              <w:t>;</w:t>
            </w:r>
            <w:r w:rsidRPr="00D04DA2">
              <w:rPr>
                <w:rFonts w:cstheme="minorHAnsi"/>
                <w:color w:val="000000" w:themeColor="text1"/>
                <w:sz w:val="20"/>
                <w:szCs w:val="20"/>
              </w:rPr>
              <w:t xml:space="preserve"> and 1 if exemptions are less generous than modest personal items and working equipment (e.g. the assets or property of the spouse of the debtor can be included in the bankrupt estate).</w:t>
            </w:r>
          </w:p>
          <w:p w14:paraId="3F1349FF" w14:textId="77777777" w:rsidR="0013652D" w:rsidRPr="00D04DA2" w:rsidRDefault="0013652D" w:rsidP="00D04DA2">
            <w:pPr>
              <w:spacing w:after="0" w:line="240" w:lineRule="auto"/>
              <w:contextualSpacing/>
              <w:rPr>
                <w:rFonts w:cstheme="minorHAnsi"/>
                <w:color w:val="000000" w:themeColor="text1"/>
                <w:sz w:val="20"/>
                <w:szCs w:val="20"/>
              </w:rPr>
            </w:pPr>
          </w:p>
          <w:p w14:paraId="2E31C15E" w14:textId="76A3CFFF" w:rsidR="0013652D" w:rsidRPr="00D04DA2" w:rsidRDefault="0013652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score for the </w:t>
            </w:r>
            <w:r w:rsidR="00823125" w:rsidRPr="00D04DA2">
              <w:rPr>
                <w:rFonts w:cstheme="minorHAnsi"/>
                <w:color w:val="000000" w:themeColor="text1"/>
                <w:sz w:val="20"/>
                <w:szCs w:val="20"/>
              </w:rPr>
              <w:t xml:space="preserve">treatment of failed </w:t>
            </w:r>
            <w:proofErr w:type="gramStart"/>
            <w:r w:rsidR="00823125" w:rsidRPr="00D04DA2">
              <w:rPr>
                <w:rFonts w:cstheme="minorHAnsi"/>
                <w:color w:val="000000" w:themeColor="text1"/>
                <w:sz w:val="20"/>
                <w:szCs w:val="20"/>
              </w:rPr>
              <w:t>entrepreneurs</w:t>
            </w:r>
            <w:proofErr w:type="gramEnd"/>
            <w:r w:rsidR="00823125" w:rsidRPr="00D04DA2">
              <w:rPr>
                <w:rFonts w:cstheme="minorHAnsi"/>
                <w:color w:val="000000" w:themeColor="text1"/>
                <w:sz w:val="20"/>
                <w:szCs w:val="20"/>
              </w:rPr>
              <w:t xml:space="preserve"> </w:t>
            </w:r>
            <w:r w:rsidRPr="00D04DA2">
              <w:rPr>
                <w:rFonts w:cstheme="minorHAnsi"/>
                <w:color w:val="000000" w:themeColor="text1"/>
                <w:sz w:val="20"/>
                <w:szCs w:val="20"/>
              </w:rPr>
              <w:t>indicator is based on the sum of the two component</w:t>
            </w:r>
            <w:r w:rsidR="00823125" w:rsidRPr="00D04DA2">
              <w:rPr>
                <w:rFonts w:cstheme="minorHAnsi"/>
                <w:color w:val="000000" w:themeColor="text1"/>
                <w:sz w:val="20"/>
                <w:szCs w:val="20"/>
              </w:rPr>
              <w:t xml:space="preserve"> score</w:t>
            </w:r>
            <w:r w:rsidRPr="00D04DA2">
              <w:rPr>
                <w:rFonts w:cstheme="minorHAnsi"/>
                <w:color w:val="000000" w:themeColor="text1"/>
                <w:sz w:val="20"/>
                <w:szCs w:val="20"/>
              </w:rPr>
              <w:t>s.</w:t>
            </w:r>
          </w:p>
        </w:tc>
        <w:tc>
          <w:tcPr>
            <w:tcW w:w="1485" w:type="dxa"/>
            <w:tcBorders>
              <w:top w:val="single" w:sz="4" w:space="0" w:color="auto"/>
              <w:left w:val="nil"/>
              <w:bottom w:val="single" w:sz="4" w:space="0" w:color="auto"/>
              <w:right w:val="single" w:sz="4" w:space="0" w:color="auto"/>
            </w:tcBorders>
          </w:tcPr>
          <w:p w14:paraId="38A97A83" w14:textId="090B2AB4" w:rsidR="00E5474F" w:rsidRPr="00D04DA2" w:rsidRDefault="00690680"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5D40F16" w14:textId="5AB7D42F"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Regional </w:t>
            </w:r>
            <w:r w:rsidR="00690680" w:rsidRPr="00D04DA2">
              <w:rPr>
                <w:rFonts w:cstheme="minorHAnsi"/>
                <w:color w:val="000000" w:themeColor="text1"/>
                <w:sz w:val="20"/>
                <w:szCs w:val="20"/>
              </w:rPr>
              <w:t>(OECD + comparators)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5393F5" w14:textId="13DF18D0"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w:t>
            </w:r>
            <w:r w:rsidR="00690680" w:rsidRPr="00D04DA2">
              <w:rPr>
                <w:rFonts w:cstheme="minorHAnsi"/>
                <w:color w:val="000000" w:themeColor="text1"/>
                <w:sz w:val="20"/>
                <w:szCs w:val="20"/>
              </w:rPr>
              <w:t>7</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541FCD87" w14:textId="51584966" w:rsidR="00E5474F" w:rsidRPr="00D04DA2" w:rsidRDefault="00582DC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01D74" w14:textId="3EF1AF80" w:rsidR="00E5474F" w:rsidRPr="00D04DA2" w:rsidRDefault="00A72319"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The indicator is published for </w:t>
            </w:r>
            <w:r w:rsidR="00582DC3" w:rsidRPr="00D04DA2">
              <w:rPr>
                <w:rFonts w:cstheme="minorHAnsi"/>
                <w:color w:val="000000" w:themeColor="text1"/>
                <w:sz w:val="20"/>
                <w:szCs w:val="20"/>
              </w:rPr>
              <w:t xml:space="preserve">2010 </w:t>
            </w:r>
            <w:r w:rsidRPr="00D04DA2">
              <w:rPr>
                <w:rFonts w:cstheme="minorHAnsi"/>
                <w:color w:val="000000" w:themeColor="text1"/>
                <w:sz w:val="20"/>
                <w:szCs w:val="20"/>
              </w:rPr>
              <w:t>and</w:t>
            </w:r>
            <w:r w:rsidR="00582DC3" w:rsidRPr="00D04DA2">
              <w:rPr>
                <w:rFonts w:cstheme="minorHAnsi"/>
                <w:color w:val="000000" w:themeColor="text1"/>
                <w:sz w:val="20"/>
                <w:szCs w:val="20"/>
              </w:rPr>
              <w:t xml:space="preserve"> 2016</w:t>
            </w:r>
            <w:r w:rsidRPr="00D04DA2">
              <w:rPr>
                <w:rFonts w:cstheme="minorHAnsi"/>
                <w:color w:val="000000" w:themeColor="text1"/>
                <w:sz w:val="20"/>
                <w:szCs w:val="20"/>
              </w:rPr>
              <w:t>.</w:t>
            </w:r>
            <w:r w:rsidR="00582DC3" w:rsidRPr="00D04DA2">
              <w:rPr>
                <w:rFonts w:cstheme="minorHAnsi"/>
                <w:color w:val="000000" w:themeColor="text1"/>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tcPr>
          <w:p w14:paraId="4A56EA4B" w14:textId="77777777" w:rsidR="00E5474F" w:rsidRPr="00D04DA2" w:rsidRDefault="00FA1285" w:rsidP="00D04DA2">
            <w:pPr>
              <w:spacing w:after="0" w:line="240" w:lineRule="auto"/>
              <w:contextualSpacing/>
              <w:rPr>
                <w:rFonts w:cstheme="minorHAnsi"/>
                <w:sz w:val="20"/>
                <w:szCs w:val="20"/>
              </w:rPr>
            </w:pPr>
            <w:hyperlink r:id="rId57">
              <w:r w:rsidR="00E5474F" w:rsidRPr="00D04DA2">
                <w:rPr>
                  <w:rStyle w:val="Hyperlink"/>
                  <w:rFonts w:eastAsia="Calibri" w:cstheme="minorHAnsi"/>
                  <w:sz w:val="20"/>
                  <w:szCs w:val="20"/>
                </w:rPr>
                <w:t>https://www.oecd.org/economy/growth/OECD-Insolvency-indicators.xlsx</w:t>
              </w:r>
            </w:hyperlink>
          </w:p>
        </w:tc>
      </w:tr>
      <w:tr w:rsidR="006E7452" w:rsidRPr="00D04DA2" w14:paraId="61D93716"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71E5AEC9" w14:textId="22208F87" w:rsidR="002B0035" w:rsidRPr="00D04DA2" w:rsidRDefault="178DC928"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5</w:t>
            </w:r>
            <w:r w:rsidR="00C93770">
              <w:rPr>
                <w:rFonts w:cstheme="minorHAnsi"/>
                <w:color w:val="000000" w:themeColor="text1"/>
                <w:sz w:val="20"/>
                <w:szCs w:val="20"/>
              </w:rPr>
              <w:t>6</w:t>
            </w:r>
          </w:p>
        </w:tc>
        <w:tc>
          <w:tcPr>
            <w:tcW w:w="1341" w:type="dxa"/>
            <w:tcBorders>
              <w:top w:val="single" w:sz="4" w:space="0" w:color="auto"/>
              <w:left w:val="single" w:sz="4" w:space="0" w:color="auto"/>
              <w:bottom w:val="single" w:sz="4" w:space="0" w:color="auto"/>
              <w:right w:val="nil"/>
            </w:tcBorders>
            <w:shd w:val="clear" w:color="auto" w:fill="auto"/>
          </w:tcPr>
          <w:p w14:paraId="136F37C7" w14:textId="518342AA" w:rsidR="002B0035" w:rsidRPr="00D04DA2" w:rsidRDefault="00823D9E" w:rsidP="00D04DA2">
            <w:pPr>
              <w:spacing w:after="0" w:line="240" w:lineRule="auto"/>
              <w:contextualSpacing/>
              <w:rPr>
                <w:rFonts w:cstheme="minorHAnsi"/>
                <w:color w:val="000000"/>
                <w:sz w:val="20"/>
                <w:szCs w:val="20"/>
              </w:rPr>
            </w:pPr>
            <w:r w:rsidRPr="00D04DA2">
              <w:rPr>
                <w:rFonts w:cstheme="minorHAnsi"/>
                <w:color w:val="000000"/>
                <w:sz w:val="20"/>
                <w:szCs w:val="20"/>
              </w:rPr>
              <w:t>Resolving insolvency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CBB905B" w14:textId="33A1420F" w:rsidR="002B0035" w:rsidRPr="00D04DA2" w:rsidRDefault="00823D9E" w:rsidP="00D04DA2">
            <w:pPr>
              <w:spacing w:after="0" w:line="240" w:lineRule="auto"/>
              <w:contextualSpacing/>
              <w:rPr>
                <w:rFonts w:cstheme="minorHAnsi"/>
                <w:color w:val="000000"/>
                <w:sz w:val="20"/>
                <w:szCs w:val="20"/>
              </w:rPr>
            </w:pPr>
            <w:r w:rsidRPr="00D04DA2">
              <w:rPr>
                <w:rFonts w:cstheme="minorHAnsi"/>
                <w:color w:val="000000"/>
                <w:sz w:val="20"/>
                <w:szCs w:val="20"/>
              </w:rPr>
              <w:t>Closing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329DBC57" w14:textId="188A2788" w:rsidR="002B0035" w:rsidRPr="00D04DA2" w:rsidRDefault="000A6FC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Restructuring </w:t>
            </w:r>
            <w:r w:rsidR="00B156A1" w:rsidRPr="00D04DA2">
              <w:rPr>
                <w:rFonts w:cstheme="minorHAnsi"/>
                <w:color w:val="000000" w:themeColor="text1"/>
                <w:sz w:val="20"/>
                <w:szCs w:val="20"/>
              </w:rPr>
              <w:t>t</w:t>
            </w:r>
            <w:r w:rsidRPr="00D04DA2">
              <w:rPr>
                <w:rFonts w:cstheme="minorHAnsi"/>
                <w:color w:val="000000" w:themeColor="text1"/>
                <w:sz w:val="20"/>
                <w:szCs w:val="20"/>
              </w:rPr>
              <w:t>ools</w:t>
            </w:r>
            <w:r w:rsidR="00582DC3" w:rsidRPr="00D04DA2">
              <w:rPr>
                <w:rFonts w:cstheme="minorHAnsi"/>
                <w:color w:val="000000" w:themeColor="text1"/>
                <w:sz w:val="20"/>
                <w:szCs w:val="20"/>
              </w:rPr>
              <w:t xml:space="preserve"> </w:t>
            </w:r>
            <w:r w:rsidRPr="00D04DA2">
              <w:rPr>
                <w:rFonts w:cstheme="minorHAnsi"/>
                <w:color w:val="000000" w:themeColor="text1"/>
                <w:sz w:val="20"/>
                <w:szCs w:val="20"/>
              </w:rPr>
              <w:t>i</w:t>
            </w:r>
            <w:r w:rsidR="00582DC3" w:rsidRPr="00D04DA2">
              <w:rPr>
                <w:rFonts w:cstheme="minorHAnsi"/>
                <w:color w:val="000000" w:themeColor="text1"/>
                <w:sz w:val="20"/>
                <w:szCs w:val="20"/>
              </w:rPr>
              <w:t>ndicator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FAD1B0" w14:textId="4685A3A3" w:rsidR="000A6FC1" w:rsidRPr="00D04DA2" w:rsidRDefault="00B156A1"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S</w:t>
            </w:r>
            <w:r w:rsidR="000A6FC1" w:rsidRPr="00D04DA2">
              <w:rPr>
                <w:rFonts w:cstheme="minorHAnsi"/>
                <w:color w:val="000000"/>
                <w:sz w:val="20"/>
                <w:szCs w:val="20"/>
              </w:rPr>
              <w:t>core (0-</w:t>
            </w:r>
            <w:r w:rsidR="00F66BB5" w:rsidRPr="00D04DA2">
              <w:rPr>
                <w:rFonts w:cstheme="minorHAnsi"/>
                <w:color w:val="000000"/>
                <w:sz w:val="20"/>
                <w:szCs w:val="20"/>
              </w:rPr>
              <w:t>5</w:t>
            </w:r>
            <w:r w:rsidR="000A6FC1" w:rsidRPr="00D04DA2">
              <w:rPr>
                <w:rFonts w:cstheme="minorHAnsi"/>
                <w:color w:val="000000"/>
                <w:sz w:val="20"/>
                <w:szCs w:val="20"/>
              </w:rPr>
              <w:t>)</w:t>
            </w:r>
          </w:p>
          <w:p w14:paraId="684F21CE" w14:textId="77777777" w:rsidR="002B0035" w:rsidRPr="00D04DA2" w:rsidRDefault="002B0035" w:rsidP="00D04DA2">
            <w:pPr>
              <w:spacing w:after="0" w:line="240" w:lineRule="auto"/>
              <w:contextualSpacing/>
              <w:rPr>
                <w:rFonts w:cstheme="minorHAnsi"/>
                <w:color w:val="000000" w:themeColor="text1"/>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826F38F" w14:textId="77777777" w:rsidR="00823D9E" w:rsidRPr="00D04DA2" w:rsidRDefault="00823D9E"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OECD - Economics Department Project on Exit Polices and Economic Growth</w:t>
            </w:r>
          </w:p>
          <w:p w14:paraId="3ED0D1A0" w14:textId="77777777" w:rsidR="002B0035" w:rsidRPr="00D04DA2" w:rsidRDefault="002B0035" w:rsidP="00D04DA2">
            <w:pPr>
              <w:spacing w:after="0" w:line="240" w:lineRule="auto"/>
              <w:contextualSpacing/>
              <w:rPr>
                <w:rFonts w:cstheme="minorHAnsi"/>
                <w:color w:val="000000" w:themeColor="text1"/>
                <w:sz w:val="20"/>
                <w:szCs w:val="20"/>
              </w:rPr>
            </w:pPr>
          </w:p>
        </w:tc>
        <w:tc>
          <w:tcPr>
            <w:tcW w:w="1341" w:type="dxa"/>
            <w:tcBorders>
              <w:top w:val="single" w:sz="4" w:space="0" w:color="auto"/>
              <w:left w:val="nil"/>
              <w:bottom w:val="single" w:sz="4" w:space="0" w:color="auto"/>
              <w:right w:val="single" w:sz="4" w:space="0" w:color="auto"/>
            </w:tcBorders>
            <w:shd w:val="clear" w:color="auto" w:fill="auto"/>
          </w:tcPr>
          <w:p w14:paraId="795A798D" w14:textId="68ECF0AF" w:rsidR="00823D9E" w:rsidRPr="00D04DA2" w:rsidRDefault="00823D9E"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p w14:paraId="6C06AF47" w14:textId="77777777" w:rsidR="002B0035" w:rsidRPr="00D04DA2" w:rsidRDefault="002B0035" w:rsidP="00D04DA2">
            <w:pPr>
              <w:spacing w:after="0" w:line="240" w:lineRule="auto"/>
              <w:contextualSpacing/>
              <w:rPr>
                <w:rFonts w:eastAsia="Calibri" w:cstheme="minorHAnsi"/>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EF61DB2" w14:textId="0FE38194" w:rsidR="00882187" w:rsidRPr="00D04DA2" w:rsidRDefault="004A2A7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restructuring tools indicator is part of t</w:t>
            </w:r>
            <w:r w:rsidR="00823D9E" w:rsidRPr="00D04DA2">
              <w:rPr>
                <w:rFonts w:cstheme="minorHAnsi"/>
                <w:color w:val="000000" w:themeColor="text1"/>
                <w:sz w:val="20"/>
                <w:szCs w:val="20"/>
              </w:rPr>
              <w:t xml:space="preserve">he </w:t>
            </w:r>
            <w:r w:rsidR="001A7BE9" w:rsidRPr="00D04DA2">
              <w:rPr>
                <w:rFonts w:cstheme="minorHAnsi"/>
                <w:color w:val="000000" w:themeColor="text1"/>
                <w:sz w:val="20"/>
                <w:szCs w:val="20"/>
              </w:rPr>
              <w:t>OECD Insolvency indicators</w:t>
            </w:r>
            <w:r w:rsidRPr="00D04DA2">
              <w:rPr>
                <w:rFonts w:cstheme="minorHAnsi"/>
                <w:color w:val="000000" w:themeColor="text1"/>
                <w:sz w:val="20"/>
                <w:szCs w:val="20"/>
              </w:rPr>
              <w:t>, which</w:t>
            </w:r>
            <w:r w:rsidR="00823D9E" w:rsidRPr="00D04DA2">
              <w:rPr>
                <w:rFonts w:cstheme="minorHAnsi"/>
                <w:color w:val="000000" w:themeColor="text1"/>
                <w:sz w:val="20"/>
                <w:szCs w:val="20"/>
              </w:rPr>
              <w:t xml:space="preserve"> measure the state of play with respect to the different features of insolvency regimes, including the prevention and streamlining of insolvency proceedings, commencement of proceedings, restructuring tools, treatment of management during restructuring, possibility to "cram-down" on dissenting creditors, possibility and priority of new financing, degree of court involvement, inter alia.</w:t>
            </w:r>
          </w:p>
          <w:p w14:paraId="5E8818B4" w14:textId="656696FE" w:rsidR="001A7BE9" w:rsidRPr="00D04DA2" w:rsidRDefault="001A7BE9" w:rsidP="00D04DA2">
            <w:pPr>
              <w:spacing w:after="0" w:line="240" w:lineRule="auto"/>
              <w:contextualSpacing/>
              <w:rPr>
                <w:rFonts w:cstheme="minorHAnsi"/>
                <w:color w:val="000000" w:themeColor="text1"/>
                <w:sz w:val="20"/>
                <w:szCs w:val="20"/>
              </w:rPr>
            </w:pPr>
          </w:p>
          <w:p w14:paraId="3DC3726B" w14:textId="528B7A62" w:rsidR="00D3544C" w:rsidRPr="00D04DA2" w:rsidRDefault="004A2A76"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r</w:t>
            </w:r>
            <w:r w:rsidR="00D3544C" w:rsidRPr="00D04DA2">
              <w:rPr>
                <w:rFonts w:cstheme="minorHAnsi"/>
                <w:color w:val="000000" w:themeColor="text1"/>
                <w:sz w:val="20"/>
                <w:szCs w:val="20"/>
              </w:rPr>
              <w:t xml:space="preserve">estructuring tools </w:t>
            </w:r>
            <w:r w:rsidRPr="00D04DA2">
              <w:rPr>
                <w:rFonts w:cstheme="minorHAnsi"/>
                <w:color w:val="000000" w:themeColor="text1"/>
                <w:sz w:val="20"/>
                <w:szCs w:val="20"/>
              </w:rPr>
              <w:t xml:space="preserve">indicator </w:t>
            </w:r>
            <w:r w:rsidR="00D3544C" w:rsidRPr="00D04DA2">
              <w:rPr>
                <w:rFonts w:cstheme="minorHAnsi"/>
                <w:color w:val="000000" w:themeColor="text1"/>
                <w:sz w:val="20"/>
                <w:szCs w:val="20"/>
              </w:rPr>
              <w:t>is based on the 5 components</w:t>
            </w:r>
            <w:r w:rsidR="00DF6DEF" w:rsidRPr="00D04DA2">
              <w:rPr>
                <w:rFonts w:cstheme="minorHAnsi"/>
                <w:color w:val="000000" w:themeColor="text1"/>
                <w:sz w:val="20"/>
                <w:szCs w:val="20"/>
              </w:rPr>
              <w:t>:</w:t>
            </w:r>
          </w:p>
          <w:p w14:paraId="791A3037" w14:textId="77777777" w:rsidR="00D3544C" w:rsidRPr="00D04DA2" w:rsidRDefault="00D3544C" w:rsidP="00D04DA2">
            <w:pPr>
              <w:spacing w:after="0" w:line="240" w:lineRule="auto"/>
              <w:contextualSpacing/>
              <w:rPr>
                <w:rFonts w:cstheme="minorHAnsi"/>
                <w:color w:val="000000" w:themeColor="text1"/>
                <w:sz w:val="20"/>
                <w:szCs w:val="20"/>
              </w:rPr>
            </w:pPr>
          </w:p>
          <w:p w14:paraId="0E095328" w14:textId="4D029584" w:rsidR="00D3544C" w:rsidRPr="00D04DA2" w:rsidRDefault="00D3544C" w:rsidP="00D04DA2">
            <w:pPr>
              <w:pStyle w:val="ListParagraph"/>
              <w:numPr>
                <w:ilvl w:val="0"/>
                <w:numId w:val="22"/>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Initiation of restructuring by creditors: This </w:t>
            </w:r>
            <w:r w:rsidR="00302313" w:rsidRPr="00D04DA2">
              <w:rPr>
                <w:rFonts w:cstheme="minorHAnsi"/>
                <w:color w:val="000000" w:themeColor="text1"/>
                <w:sz w:val="20"/>
                <w:szCs w:val="20"/>
              </w:rPr>
              <w:t>component</w:t>
            </w:r>
            <w:r w:rsidRPr="00D04DA2">
              <w:rPr>
                <w:rFonts w:cstheme="minorHAnsi"/>
                <w:color w:val="000000" w:themeColor="text1"/>
                <w:sz w:val="20"/>
                <w:szCs w:val="20"/>
              </w:rPr>
              <w:t xml:space="preserve"> is a dummy variable equal to 0 if creditors can initiate both liquidation and restructuring and 1 if creditors can initiate only liquidation.</w:t>
            </w:r>
          </w:p>
          <w:p w14:paraId="4850ED28" w14:textId="77777777" w:rsidR="00D3544C" w:rsidRPr="00D04DA2" w:rsidRDefault="00D3544C" w:rsidP="00D04DA2">
            <w:pPr>
              <w:spacing w:after="0" w:line="240" w:lineRule="auto"/>
              <w:contextualSpacing/>
              <w:rPr>
                <w:rFonts w:cstheme="minorHAnsi"/>
                <w:color w:val="000000" w:themeColor="text1"/>
                <w:sz w:val="20"/>
                <w:szCs w:val="20"/>
              </w:rPr>
            </w:pPr>
          </w:p>
          <w:p w14:paraId="16C7E8AB" w14:textId="235CE292" w:rsidR="00D3544C" w:rsidRPr="00D04DA2" w:rsidRDefault="00D3544C" w:rsidP="00D04DA2">
            <w:pPr>
              <w:pStyle w:val="ListParagraph"/>
              <w:numPr>
                <w:ilvl w:val="0"/>
                <w:numId w:val="22"/>
              </w:numPr>
              <w:spacing w:after="0" w:line="240" w:lineRule="auto"/>
              <w:rPr>
                <w:rFonts w:cstheme="minorHAnsi"/>
                <w:color w:val="000000" w:themeColor="text1"/>
                <w:sz w:val="20"/>
                <w:szCs w:val="20"/>
              </w:rPr>
            </w:pPr>
            <w:r w:rsidRPr="00D04DA2">
              <w:rPr>
                <w:rFonts w:cstheme="minorHAnsi"/>
                <w:color w:val="000000" w:themeColor="text1"/>
                <w:sz w:val="20"/>
                <w:szCs w:val="20"/>
              </w:rPr>
              <w:t>Length of stay on assets in restructuring: All countries in the sample have the option of a stay on assets in restructuring. This indicator is a dummy variable equal to 0 if the length of stay has a limit and 1 if the length of stay is indefinite.</w:t>
            </w:r>
          </w:p>
          <w:p w14:paraId="18BA01D7" w14:textId="77777777" w:rsidR="00D3544C" w:rsidRPr="00D04DA2" w:rsidRDefault="00D3544C" w:rsidP="00D04DA2">
            <w:pPr>
              <w:spacing w:after="0" w:line="240" w:lineRule="auto"/>
              <w:contextualSpacing/>
              <w:rPr>
                <w:rFonts w:cstheme="minorHAnsi"/>
                <w:color w:val="000000" w:themeColor="text1"/>
                <w:sz w:val="20"/>
                <w:szCs w:val="20"/>
              </w:rPr>
            </w:pPr>
          </w:p>
          <w:p w14:paraId="0E35B85F" w14:textId="30B24B94" w:rsidR="00D3544C" w:rsidRPr="00D04DA2" w:rsidRDefault="00D3544C" w:rsidP="00D04DA2">
            <w:pPr>
              <w:pStyle w:val="ListParagraph"/>
              <w:numPr>
                <w:ilvl w:val="0"/>
                <w:numId w:val="22"/>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Possibility and priority of new financing: This </w:t>
            </w:r>
            <w:r w:rsidR="00302313" w:rsidRPr="00D04DA2">
              <w:rPr>
                <w:rFonts w:cstheme="minorHAnsi"/>
                <w:color w:val="000000" w:themeColor="text1"/>
                <w:sz w:val="20"/>
                <w:szCs w:val="20"/>
              </w:rPr>
              <w:t>component</w:t>
            </w:r>
            <w:r w:rsidRPr="00D04DA2">
              <w:rPr>
                <w:rFonts w:cstheme="minorHAnsi"/>
                <w:color w:val="000000" w:themeColor="text1"/>
                <w:sz w:val="20"/>
                <w:szCs w:val="20"/>
              </w:rPr>
              <w:t xml:space="preserve"> is equal to 0 if the new financing has priority over only unsecured creditors; 0.5 if the priority of new financing has priority over both secured and unsecured creditors; and 1 if new financing has no priority.</w:t>
            </w:r>
          </w:p>
          <w:p w14:paraId="7D334BBD" w14:textId="77777777" w:rsidR="00D3544C" w:rsidRPr="00D04DA2" w:rsidRDefault="00D3544C" w:rsidP="00D04DA2">
            <w:pPr>
              <w:spacing w:after="0" w:line="240" w:lineRule="auto"/>
              <w:contextualSpacing/>
              <w:rPr>
                <w:rFonts w:cstheme="minorHAnsi"/>
                <w:color w:val="000000" w:themeColor="text1"/>
                <w:sz w:val="20"/>
                <w:szCs w:val="20"/>
              </w:rPr>
            </w:pPr>
          </w:p>
          <w:p w14:paraId="3DEEDC98" w14:textId="286FD95D" w:rsidR="00D3544C" w:rsidRPr="00D04DA2" w:rsidRDefault="00D3544C" w:rsidP="00D04DA2">
            <w:pPr>
              <w:pStyle w:val="ListParagraph"/>
              <w:numPr>
                <w:ilvl w:val="0"/>
                <w:numId w:val="22"/>
              </w:numPr>
              <w:spacing w:after="0" w:line="240" w:lineRule="auto"/>
              <w:rPr>
                <w:rFonts w:cstheme="minorHAnsi"/>
                <w:color w:val="000000" w:themeColor="text1"/>
                <w:sz w:val="20"/>
                <w:szCs w:val="20"/>
              </w:rPr>
            </w:pPr>
            <w:r w:rsidRPr="00D04DA2">
              <w:rPr>
                <w:rFonts w:cstheme="minorHAnsi"/>
                <w:color w:val="000000" w:themeColor="text1"/>
                <w:sz w:val="20"/>
                <w:szCs w:val="20"/>
              </w:rPr>
              <w:t xml:space="preserve">Possibility to "cram-down" on dissenting creditors: </w:t>
            </w:r>
            <w:r w:rsidR="00302313" w:rsidRPr="00D04DA2">
              <w:rPr>
                <w:rFonts w:cstheme="minorHAnsi"/>
                <w:color w:val="000000" w:themeColor="text1"/>
                <w:sz w:val="20"/>
                <w:szCs w:val="20"/>
              </w:rPr>
              <w:t>T</w:t>
            </w:r>
            <w:r w:rsidRPr="00D04DA2">
              <w:rPr>
                <w:rFonts w:cstheme="minorHAnsi"/>
                <w:color w:val="000000" w:themeColor="text1"/>
                <w:sz w:val="20"/>
                <w:szCs w:val="20"/>
              </w:rPr>
              <w:t xml:space="preserve">his </w:t>
            </w:r>
            <w:r w:rsidR="00302313" w:rsidRPr="00D04DA2">
              <w:rPr>
                <w:rFonts w:cstheme="minorHAnsi"/>
                <w:color w:val="000000" w:themeColor="text1"/>
                <w:sz w:val="20"/>
                <w:szCs w:val="20"/>
              </w:rPr>
              <w:t>component</w:t>
            </w:r>
            <w:r w:rsidRPr="00D04DA2">
              <w:rPr>
                <w:rFonts w:cstheme="minorHAnsi"/>
                <w:color w:val="000000" w:themeColor="text1"/>
                <w:sz w:val="20"/>
                <w:szCs w:val="20"/>
              </w:rPr>
              <w:t xml:space="preserve"> takes the value 0 if there is cram-down, with the provision that dissenting creditors receive as much under restructuring as in liquidation; 0.5 if cram-down exists in the absence of this provision; and 1 if there is no cram-down.</w:t>
            </w:r>
          </w:p>
          <w:p w14:paraId="31A56E5D" w14:textId="77777777" w:rsidR="00D3544C" w:rsidRPr="00D04DA2" w:rsidRDefault="00D3544C" w:rsidP="00D04DA2">
            <w:pPr>
              <w:spacing w:after="0" w:line="240" w:lineRule="auto"/>
              <w:contextualSpacing/>
              <w:rPr>
                <w:rFonts w:cstheme="minorHAnsi"/>
                <w:color w:val="000000" w:themeColor="text1"/>
                <w:sz w:val="20"/>
                <w:szCs w:val="20"/>
              </w:rPr>
            </w:pPr>
          </w:p>
          <w:p w14:paraId="053B1422" w14:textId="42D1F30E" w:rsidR="002B0035" w:rsidRPr="00D04DA2" w:rsidRDefault="00D3544C" w:rsidP="00D04DA2">
            <w:pPr>
              <w:pStyle w:val="ListParagraph"/>
              <w:numPr>
                <w:ilvl w:val="0"/>
                <w:numId w:val="22"/>
              </w:numPr>
              <w:spacing w:after="0" w:line="240" w:lineRule="auto"/>
              <w:rPr>
                <w:rFonts w:cstheme="minorHAnsi"/>
                <w:color w:val="000000" w:themeColor="text1"/>
                <w:sz w:val="20"/>
                <w:szCs w:val="20"/>
              </w:rPr>
            </w:pPr>
            <w:r w:rsidRPr="00D04DA2">
              <w:rPr>
                <w:rFonts w:cstheme="minorHAnsi"/>
                <w:color w:val="000000" w:themeColor="text1"/>
                <w:sz w:val="20"/>
                <w:szCs w:val="20"/>
              </w:rPr>
              <w:t>Dismissal of management during restructuri</w:t>
            </w:r>
            <w:r w:rsidR="00302313" w:rsidRPr="00D04DA2">
              <w:rPr>
                <w:rFonts w:cstheme="minorHAnsi"/>
                <w:color w:val="000000" w:themeColor="text1"/>
                <w:sz w:val="20"/>
                <w:szCs w:val="20"/>
              </w:rPr>
              <w:t>n</w:t>
            </w:r>
            <w:r w:rsidRPr="00D04DA2">
              <w:rPr>
                <w:rFonts w:cstheme="minorHAnsi"/>
                <w:color w:val="000000" w:themeColor="text1"/>
                <w:sz w:val="20"/>
                <w:szCs w:val="20"/>
              </w:rPr>
              <w:t xml:space="preserve">g: This </w:t>
            </w:r>
            <w:r w:rsidR="00302313" w:rsidRPr="00D04DA2">
              <w:rPr>
                <w:rFonts w:cstheme="minorHAnsi"/>
                <w:color w:val="000000" w:themeColor="text1"/>
                <w:sz w:val="20"/>
                <w:szCs w:val="20"/>
              </w:rPr>
              <w:t>component</w:t>
            </w:r>
            <w:r w:rsidRPr="00D04DA2">
              <w:rPr>
                <w:rFonts w:cstheme="minorHAnsi"/>
                <w:color w:val="000000" w:themeColor="text1"/>
                <w:sz w:val="20"/>
                <w:szCs w:val="20"/>
              </w:rPr>
              <w:t xml:space="preserve"> takes the value 0 if management is not dismissed during the restructuring process and 1 if management is dismissed.</w:t>
            </w:r>
          </w:p>
          <w:p w14:paraId="39F4A94D" w14:textId="77777777" w:rsidR="000D00F5" w:rsidRPr="00D04DA2" w:rsidRDefault="000D00F5" w:rsidP="00D04DA2">
            <w:pPr>
              <w:spacing w:after="0" w:line="240" w:lineRule="auto"/>
              <w:contextualSpacing/>
              <w:rPr>
                <w:rFonts w:cstheme="minorHAnsi"/>
                <w:color w:val="000000" w:themeColor="text1"/>
                <w:sz w:val="20"/>
                <w:szCs w:val="20"/>
              </w:rPr>
            </w:pPr>
          </w:p>
          <w:p w14:paraId="577F33EC" w14:textId="0016F7D4" w:rsidR="000D00F5" w:rsidRPr="00D04DA2" w:rsidRDefault="000D00F5"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score for the restructuring tools indicator is based on the sum of the</w:t>
            </w:r>
            <w:r w:rsidR="007B2F6B" w:rsidRPr="00D04DA2">
              <w:rPr>
                <w:rFonts w:cstheme="minorHAnsi"/>
                <w:color w:val="000000" w:themeColor="text1"/>
                <w:sz w:val="20"/>
                <w:szCs w:val="20"/>
              </w:rPr>
              <w:t xml:space="preserve"> 5 component</w:t>
            </w:r>
            <w:r w:rsidRPr="00D04DA2">
              <w:rPr>
                <w:rFonts w:cstheme="minorHAnsi"/>
                <w:color w:val="000000" w:themeColor="text1"/>
                <w:sz w:val="20"/>
                <w:szCs w:val="20"/>
              </w:rPr>
              <w:t xml:space="preserve"> scores</w:t>
            </w:r>
            <w:r w:rsidR="007B2F6B" w:rsidRPr="00D04DA2">
              <w:rPr>
                <w:rFonts w:cstheme="minorHAnsi"/>
                <w:color w:val="000000" w:themeColor="text1"/>
                <w:sz w:val="20"/>
                <w:szCs w:val="20"/>
              </w:rPr>
              <w:t>.</w:t>
            </w:r>
          </w:p>
        </w:tc>
        <w:tc>
          <w:tcPr>
            <w:tcW w:w="1485" w:type="dxa"/>
            <w:tcBorders>
              <w:top w:val="single" w:sz="4" w:space="0" w:color="auto"/>
              <w:left w:val="nil"/>
              <w:bottom w:val="single" w:sz="4" w:space="0" w:color="auto"/>
              <w:right w:val="single" w:sz="4" w:space="0" w:color="auto"/>
            </w:tcBorders>
          </w:tcPr>
          <w:p w14:paraId="45F7CBC3" w14:textId="64CE90CD" w:rsidR="002B0035" w:rsidRPr="00D04DA2" w:rsidRDefault="00582DC3"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lastRenderedPageBreak/>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E50C850" w14:textId="099ED726" w:rsidR="002B0035" w:rsidRPr="00D04DA2" w:rsidRDefault="00582DC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Regional (OECD + comparators)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21820D" w14:textId="6963C2BD" w:rsidR="002B0035" w:rsidRPr="00D04DA2" w:rsidRDefault="00582DC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37</w:t>
            </w:r>
            <w:r w:rsidR="00823D9E"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7C86F028" w14:textId="3332AC32" w:rsidR="002B0035" w:rsidRPr="00D04DA2" w:rsidRDefault="00582DC3"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B81AA7" w14:textId="29147EF0" w:rsidR="002B0035" w:rsidRPr="00D04DA2" w:rsidRDefault="004E4BB5"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indicator is published for </w:t>
            </w:r>
            <w:r w:rsidR="00582DC3" w:rsidRPr="00D04DA2">
              <w:rPr>
                <w:rFonts w:cstheme="minorHAnsi"/>
                <w:color w:val="000000" w:themeColor="text1"/>
                <w:sz w:val="20"/>
                <w:szCs w:val="20"/>
              </w:rPr>
              <w:t xml:space="preserve">2010 </w:t>
            </w:r>
            <w:r w:rsidRPr="00D04DA2">
              <w:rPr>
                <w:rFonts w:cstheme="minorHAnsi"/>
                <w:color w:val="000000" w:themeColor="text1"/>
                <w:sz w:val="20"/>
                <w:szCs w:val="20"/>
              </w:rPr>
              <w:t>and</w:t>
            </w:r>
            <w:r w:rsidR="00582DC3" w:rsidRPr="00D04DA2">
              <w:rPr>
                <w:rFonts w:cstheme="minorHAnsi"/>
                <w:color w:val="000000" w:themeColor="text1"/>
                <w:sz w:val="20"/>
                <w:szCs w:val="20"/>
              </w:rPr>
              <w:t xml:space="preserve"> 2016</w:t>
            </w:r>
            <w:r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34E356B4" w14:textId="2954138E" w:rsidR="002B0035" w:rsidRPr="00D04DA2" w:rsidRDefault="00FA1285" w:rsidP="00D04DA2">
            <w:pPr>
              <w:spacing w:after="0" w:line="240" w:lineRule="auto"/>
              <w:contextualSpacing/>
              <w:rPr>
                <w:rFonts w:cstheme="minorHAnsi"/>
                <w:sz w:val="20"/>
                <w:szCs w:val="20"/>
              </w:rPr>
            </w:pPr>
            <w:hyperlink r:id="rId58">
              <w:r w:rsidR="00823D9E" w:rsidRPr="00D04DA2">
                <w:rPr>
                  <w:rStyle w:val="Hyperlink"/>
                  <w:rFonts w:eastAsia="Calibri" w:cstheme="minorHAnsi"/>
                  <w:sz w:val="20"/>
                  <w:szCs w:val="20"/>
                </w:rPr>
                <w:t>https://www.oecd.org/economy/growth/OECD-Insolvency-indicators.xlsx</w:t>
              </w:r>
            </w:hyperlink>
          </w:p>
        </w:tc>
      </w:tr>
      <w:tr w:rsidR="006E7452" w:rsidRPr="00D04DA2" w14:paraId="7033ADF3"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745AF892" w14:textId="60211664" w:rsidR="002D21EC" w:rsidRPr="00D04DA2" w:rsidRDefault="001175F4"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5</w:t>
            </w:r>
            <w:r w:rsidR="00C93770">
              <w:rPr>
                <w:rFonts w:cstheme="minorHAnsi"/>
                <w:color w:val="000000" w:themeColor="text1"/>
                <w:sz w:val="20"/>
                <w:szCs w:val="20"/>
              </w:rPr>
              <w:t>7</w:t>
            </w:r>
          </w:p>
        </w:tc>
        <w:tc>
          <w:tcPr>
            <w:tcW w:w="1341" w:type="dxa"/>
            <w:tcBorders>
              <w:top w:val="single" w:sz="4" w:space="0" w:color="auto"/>
              <w:left w:val="single" w:sz="4" w:space="0" w:color="auto"/>
              <w:bottom w:val="single" w:sz="4" w:space="0" w:color="auto"/>
              <w:right w:val="nil"/>
            </w:tcBorders>
            <w:shd w:val="clear" w:color="auto" w:fill="auto"/>
          </w:tcPr>
          <w:p w14:paraId="60FEE7C8" w14:textId="0AA9C9B9" w:rsidR="002D21EC" w:rsidRPr="00D04DA2" w:rsidRDefault="002D21EC" w:rsidP="00D04DA2">
            <w:pPr>
              <w:spacing w:after="0" w:line="240" w:lineRule="auto"/>
              <w:contextualSpacing/>
              <w:rPr>
                <w:rFonts w:cstheme="minorHAnsi"/>
                <w:color w:val="000000"/>
                <w:sz w:val="20"/>
                <w:szCs w:val="20"/>
              </w:rPr>
            </w:pPr>
            <w:r w:rsidRPr="00D04DA2">
              <w:rPr>
                <w:rFonts w:cstheme="minorHAnsi"/>
                <w:color w:val="000000"/>
                <w:sz w:val="20"/>
                <w:szCs w:val="20"/>
              </w:rPr>
              <w:t>Resolving insolvency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E0ECF7B" w14:textId="2EAC835E" w:rsidR="002D21EC" w:rsidRPr="00D04DA2" w:rsidRDefault="002D21EC" w:rsidP="00D04DA2">
            <w:pPr>
              <w:spacing w:after="0" w:line="240" w:lineRule="auto"/>
              <w:contextualSpacing/>
              <w:rPr>
                <w:rFonts w:cstheme="minorHAnsi"/>
                <w:color w:val="000000"/>
                <w:sz w:val="20"/>
                <w:szCs w:val="20"/>
              </w:rPr>
            </w:pPr>
            <w:r w:rsidRPr="00D04DA2">
              <w:rPr>
                <w:rFonts w:cstheme="minorHAnsi"/>
                <w:color w:val="000000"/>
                <w:sz w:val="20"/>
                <w:szCs w:val="20"/>
              </w:rPr>
              <w:t>Closing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093A63C6" w14:textId="0CDD67DC" w:rsidR="002D21EC" w:rsidRPr="00D04DA2" w:rsidRDefault="00E947A1"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Degree of court involvement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B565F0" w14:textId="14038739" w:rsidR="002D21EC" w:rsidRPr="00D04DA2" w:rsidRDefault="00E947A1"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S</w:t>
            </w:r>
            <w:r w:rsidR="002D21EC" w:rsidRPr="00D04DA2">
              <w:rPr>
                <w:rFonts w:cstheme="minorHAnsi"/>
                <w:color w:val="000000"/>
                <w:sz w:val="20"/>
                <w:szCs w:val="20"/>
              </w:rPr>
              <w:t>core (0-</w:t>
            </w:r>
            <w:r w:rsidR="00E171C2" w:rsidRPr="00D04DA2">
              <w:rPr>
                <w:rFonts w:cstheme="minorHAnsi"/>
                <w:color w:val="000000"/>
                <w:sz w:val="20"/>
                <w:szCs w:val="20"/>
              </w:rPr>
              <w:t>1</w:t>
            </w:r>
            <w:r w:rsidR="002D21EC" w:rsidRPr="00D04DA2">
              <w:rPr>
                <w:rFonts w:cstheme="minorHAnsi"/>
                <w:color w:val="000000"/>
                <w:sz w:val="20"/>
                <w:szCs w:val="20"/>
              </w:rPr>
              <w:t>)</w:t>
            </w:r>
          </w:p>
          <w:p w14:paraId="20125E5A" w14:textId="77777777" w:rsidR="002D21EC" w:rsidRPr="00D04DA2" w:rsidRDefault="002D21EC" w:rsidP="00D04DA2">
            <w:pPr>
              <w:spacing w:after="0" w:line="240" w:lineRule="auto"/>
              <w:contextualSpacing/>
              <w:rPr>
                <w:rFonts w:cstheme="minorHAnsi"/>
                <w:color w:val="000000"/>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4E4C3C4" w14:textId="77777777" w:rsidR="002D21EC" w:rsidRPr="00D04DA2" w:rsidRDefault="002D21E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OECD - Economics Department Project on Exit Polices and Economic Growth</w:t>
            </w:r>
          </w:p>
          <w:p w14:paraId="7BBA57BE" w14:textId="77777777" w:rsidR="002D21EC" w:rsidRPr="00D04DA2" w:rsidRDefault="002D21EC" w:rsidP="00D04DA2">
            <w:pPr>
              <w:spacing w:after="0" w:line="240" w:lineRule="auto"/>
              <w:contextualSpacing/>
              <w:rPr>
                <w:rFonts w:cstheme="minorHAnsi"/>
                <w:color w:val="000000" w:themeColor="text1"/>
                <w:sz w:val="20"/>
                <w:szCs w:val="20"/>
              </w:rPr>
            </w:pPr>
          </w:p>
        </w:tc>
        <w:tc>
          <w:tcPr>
            <w:tcW w:w="1341" w:type="dxa"/>
            <w:tcBorders>
              <w:top w:val="single" w:sz="4" w:space="0" w:color="auto"/>
              <w:left w:val="nil"/>
              <w:bottom w:val="single" w:sz="4" w:space="0" w:color="auto"/>
              <w:right w:val="single" w:sz="4" w:space="0" w:color="auto"/>
            </w:tcBorders>
            <w:shd w:val="clear" w:color="auto" w:fill="auto"/>
          </w:tcPr>
          <w:p w14:paraId="07373F67" w14:textId="64DA5193" w:rsidR="002D21EC" w:rsidRPr="00D04DA2" w:rsidRDefault="002D21EC" w:rsidP="00D04DA2">
            <w:pPr>
              <w:spacing w:after="0" w:line="240" w:lineRule="auto"/>
              <w:contextualSpacing/>
              <w:rPr>
                <w:rFonts w:eastAsia="Calibri" w:cstheme="minorHAnsi"/>
                <w:sz w:val="20"/>
                <w:szCs w:val="20"/>
              </w:rPr>
            </w:pPr>
            <w:r w:rsidRPr="00D04DA2">
              <w:rPr>
                <w:rFonts w:eastAsia="Calibri" w:cstheme="minorHAnsi"/>
                <w:sz w:val="20"/>
                <w:szCs w:val="20"/>
              </w:rPr>
              <w:t>Public sector organization</w:t>
            </w:r>
          </w:p>
          <w:p w14:paraId="36C504F1" w14:textId="77777777" w:rsidR="002D21EC" w:rsidRPr="00D04DA2" w:rsidRDefault="002D21EC" w:rsidP="00D04DA2">
            <w:pPr>
              <w:spacing w:after="0" w:line="240" w:lineRule="auto"/>
              <w:contextualSpacing/>
              <w:rPr>
                <w:rFonts w:eastAsia="Calibri" w:cstheme="minorHAnsi"/>
                <w:sz w:val="20"/>
                <w:szCs w:val="20"/>
              </w:rPr>
            </w:pP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9C715C0" w14:textId="1A391886" w:rsidR="00C32CB0" w:rsidRPr="00D04DA2" w:rsidRDefault="00E171C2"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questionnaire asks if courts are involved in the different stages of both liquidation and restructuring processes (i.e.</w:t>
            </w:r>
            <w:r w:rsidR="00C32CB0" w:rsidRPr="00D04DA2">
              <w:rPr>
                <w:rFonts w:cstheme="minorHAnsi"/>
                <w:color w:val="000000" w:themeColor="text1"/>
                <w:sz w:val="20"/>
                <w:szCs w:val="20"/>
              </w:rPr>
              <w:t>,</w:t>
            </w:r>
            <w:r w:rsidRPr="00D04DA2">
              <w:rPr>
                <w:rFonts w:cstheme="minorHAnsi"/>
                <w:color w:val="000000" w:themeColor="text1"/>
                <w:sz w:val="20"/>
                <w:szCs w:val="20"/>
              </w:rPr>
              <w:t xml:space="preserve"> the launch of the insolvency procedure, appointment of an insolvency practitioner, voting on a restructuring plan by creditors, </w:t>
            </w:r>
            <w:proofErr w:type="gramStart"/>
            <w:r w:rsidRPr="00D04DA2">
              <w:rPr>
                <w:rFonts w:cstheme="minorHAnsi"/>
                <w:color w:val="000000" w:themeColor="text1"/>
                <w:sz w:val="20"/>
                <w:szCs w:val="20"/>
              </w:rPr>
              <w:t>confirmation</w:t>
            </w:r>
            <w:proofErr w:type="gramEnd"/>
            <w:r w:rsidRPr="00D04DA2">
              <w:rPr>
                <w:rFonts w:cstheme="minorHAnsi"/>
                <w:color w:val="000000" w:themeColor="text1"/>
                <w:sz w:val="20"/>
                <w:szCs w:val="20"/>
              </w:rPr>
              <w:t xml:space="preserve"> and declaration of the restructuring</w:t>
            </w:r>
            <w:r w:rsidR="00C32CB0" w:rsidRPr="00D04DA2">
              <w:rPr>
                <w:rFonts w:cstheme="minorHAnsi"/>
                <w:color w:val="000000" w:themeColor="text1"/>
                <w:sz w:val="20"/>
                <w:szCs w:val="20"/>
              </w:rPr>
              <w:t xml:space="preserve"> </w:t>
            </w:r>
            <w:r w:rsidRPr="00D04DA2">
              <w:rPr>
                <w:rFonts w:cstheme="minorHAnsi"/>
                <w:color w:val="000000" w:themeColor="text1"/>
                <w:sz w:val="20"/>
                <w:szCs w:val="20"/>
              </w:rPr>
              <w:t xml:space="preserve">plan as binding or enforceable and other stages). </w:t>
            </w:r>
          </w:p>
          <w:p w14:paraId="0D8F5661" w14:textId="14E76ACF" w:rsidR="00FC0918" w:rsidRPr="00D04DA2" w:rsidRDefault="00FC0918" w:rsidP="00D04DA2">
            <w:pPr>
              <w:spacing w:after="0" w:line="240" w:lineRule="auto"/>
              <w:contextualSpacing/>
              <w:rPr>
                <w:rFonts w:cstheme="minorHAnsi"/>
                <w:color w:val="000000" w:themeColor="text1"/>
                <w:sz w:val="20"/>
                <w:szCs w:val="20"/>
              </w:rPr>
            </w:pPr>
          </w:p>
          <w:p w14:paraId="3F5B6133" w14:textId="065F3560" w:rsidR="002D21EC" w:rsidRPr="00D04DA2" w:rsidRDefault="00E171C2"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indicator adds the number of stages for restructuring (ranging from 0 to 5) and number of stages for liquidation (ranging from 0 to 5), and then rescales the values to be between 0 and 1.</w:t>
            </w:r>
          </w:p>
        </w:tc>
        <w:tc>
          <w:tcPr>
            <w:tcW w:w="1485" w:type="dxa"/>
            <w:tcBorders>
              <w:top w:val="single" w:sz="4" w:space="0" w:color="auto"/>
              <w:left w:val="nil"/>
              <w:bottom w:val="single" w:sz="4" w:space="0" w:color="auto"/>
              <w:right w:val="single" w:sz="4" w:space="0" w:color="auto"/>
            </w:tcBorders>
          </w:tcPr>
          <w:p w14:paraId="2FACBE97" w14:textId="6A6BEF06" w:rsidR="002D21EC" w:rsidRPr="00D04DA2" w:rsidRDefault="002D21EC" w:rsidP="00D04DA2">
            <w:pPr>
              <w:spacing w:after="0" w:line="240" w:lineRule="auto"/>
              <w:contextualSpacing/>
              <w:rPr>
                <w:rFonts w:cstheme="minorHAnsi"/>
                <w:color w:val="000000"/>
                <w:sz w:val="20"/>
                <w:szCs w:val="20"/>
              </w:rPr>
            </w:pPr>
            <w:r w:rsidRPr="00D04DA2">
              <w:rPr>
                <w:rFonts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1187143" w14:textId="49BD9E7C" w:rsidR="002D21EC" w:rsidRPr="00D04DA2" w:rsidRDefault="002D21E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Regional (OECD + comparators)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BDD8F9" w14:textId="20CE7872" w:rsidR="002D21EC" w:rsidRPr="00D04DA2" w:rsidRDefault="002D21E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w:t>
            </w:r>
            <w:r w:rsidR="00E05049" w:rsidRPr="00D04DA2">
              <w:rPr>
                <w:rFonts w:cstheme="minorHAnsi"/>
                <w:color w:val="000000" w:themeColor="text1"/>
                <w:sz w:val="20"/>
                <w:szCs w:val="20"/>
              </w:rPr>
              <w:t>8</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1B39CD28" w14:textId="6307F612" w:rsidR="002D21EC" w:rsidRPr="00D04DA2" w:rsidRDefault="002D21E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804563" w14:textId="7416831E" w:rsidR="002D21EC" w:rsidRPr="00D04DA2" w:rsidRDefault="00C8444D"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indicator is published for </w:t>
            </w:r>
            <w:r w:rsidR="002D21EC" w:rsidRPr="00D04DA2">
              <w:rPr>
                <w:rFonts w:cstheme="minorHAnsi"/>
                <w:color w:val="000000" w:themeColor="text1"/>
                <w:sz w:val="20"/>
                <w:szCs w:val="20"/>
              </w:rPr>
              <w:t xml:space="preserve">2010 </w:t>
            </w:r>
            <w:r w:rsidR="00DF2BCD" w:rsidRPr="00D04DA2">
              <w:rPr>
                <w:rFonts w:cstheme="minorHAnsi"/>
                <w:color w:val="000000" w:themeColor="text1"/>
                <w:sz w:val="20"/>
                <w:szCs w:val="20"/>
              </w:rPr>
              <w:t>and</w:t>
            </w:r>
            <w:r w:rsidR="002D21EC" w:rsidRPr="00D04DA2">
              <w:rPr>
                <w:rFonts w:cstheme="minorHAnsi"/>
                <w:color w:val="000000" w:themeColor="text1"/>
                <w:sz w:val="20"/>
                <w:szCs w:val="20"/>
              </w:rPr>
              <w:t xml:space="preserve"> 2016</w:t>
            </w:r>
            <w:r w:rsidR="00DF2BCD"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3AF28FE0" w14:textId="6B81103C" w:rsidR="002D21EC" w:rsidRPr="00D04DA2" w:rsidRDefault="00FA1285" w:rsidP="00D04DA2">
            <w:pPr>
              <w:spacing w:after="0" w:line="240" w:lineRule="auto"/>
              <w:contextualSpacing/>
              <w:rPr>
                <w:rFonts w:cstheme="minorHAnsi"/>
                <w:sz w:val="20"/>
                <w:szCs w:val="20"/>
              </w:rPr>
            </w:pPr>
            <w:hyperlink r:id="rId59">
              <w:r w:rsidR="002D21EC" w:rsidRPr="00D04DA2">
                <w:rPr>
                  <w:rStyle w:val="Hyperlink"/>
                  <w:rFonts w:eastAsia="Calibri" w:cstheme="minorHAnsi"/>
                  <w:sz w:val="20"/>
                  <w:szCs w:val="20"/>
                </w:rPr>
                <w:t>https://www.oecd.org/economy/growth/OECD-Insolvency-indicators.xlsx</w:t>
              </w:r>
            </w:hyperlink>
          </w:p>
        </w:tc>
      </w:tr>
      <w:tr w:rsidR="00500C09" w:rsidRPr="00D04DA2" w14:paraId="31B3DF99"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26A18280" w14:textId="6A1A8589" w:rsidR="00E5474F" w:rsidRPr="00D04DA2" w:rsidRDefault="001175F4"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5</w:t>
            </w:r>
            <w:r w:rsidR="00C93770">
              <w:rPr>
                <w:rFonts w:cstheme="minorHAnsi"/>
                <w:color w:val="000000" w:themeColor="text1"/>
                <w:sz w:val="20"/>
                <w:szCs w:val="20"/>
              </w:rPr>
              <w:t>8</w:t>
            </w:r>
          </w:p>
        </w:tc>
        <w:tc>
          <w:tcPr>
            <w:tcW w:w="1341" w:type="dxa"/>
            <w:tcBorders>
              <w:top w:val="single" w:sz="4" w:space="0" w:color="auto"/>
              <w:left w:val="single" w:sz="4" w:space="0" w:color="auto"/>
              <w:bottom w:val="single" w:sz="4" w:space="0" w:color="auto"/>
              <w:right w:val="nil"/>
            </w:tcBorders>
            <w:shd w:val="clear" w:color="auto" w:fill="auto"/>
          </w:tcPr>
          <w:p w14:paraId="1D18317C"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Resolving insolvency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42F1260" w14:textId="77777777" w:rsidR="00E5474F" w:rsidRPr="00D04DA2" w:rsidRDefault="00E5474F" w:rsidP="00D04DA2">
            <w:pPr>
              <w:spacing w:after="0" w:line="240" w:lineRule="auto"/>
              <w:contextualSpacing/>
              <w:rPr>
                <w:rFonts w:cstheme="minorHAnsi"/>
                <w:color w:val="000000"/>
                <w:sz w:val="20"/>
                <w:szCs w:val="20"/>
              </w:rPr>
            </w:pPr>
            <w:r w:rsidRPr="00D04DA2">
              <w:rPr>
                <w:rFonts w:cstheme="minorHAnsi"/>
                <w:color w:val="000000"/>
                <w:sz w:val="20"/>
                <w:szCs w:val="20"/>
              </w:rPr>
              <w:t>Closing a business</w:t>
            </w:r>
          </w:p>
        </w:tc>
        <w:tc>
          <w:tcPr>
            <w:tcW w:w="1393" w:type="dxa"/>
            <w:tcBorders>
              <w:top w:val="single" w:sz="4" w:space="0" w:color="auto"/>
              <w:left w:val="single" w:sz="4" w:space="0" w:color="auto"/>
              <w:bottom w:val="single" w:sz="4" w:space="0" w:color="auto"/>
              <w:right w:val="nil"/>
            </w:tcBorders>
            <w:shd w:val="clear" w:color="auto" w:fill="auto"/>
            <w:noWrap/>
          </w:tcPr>
          <w:p w14:paraId="5CE0CCC8"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Insolvency assessment on reorganization procedures</w:t>
            </w:r>
          </w:p>
          <w:p w14:paraId="371D01AE" w14:textId="77777777" w:rsidR="00E5474F" w:rsidRPr="00D04DA2" w:rsidRDefault="00E5474F" w:rsidP="00D04DA2">
            <w:pPr>
              <w:spacing w:after="0" w:line="240" w:lineRule="auto"/>
              <w:contextualSpacing/>
              <w:rPr>
                <w:rFonts w:cstheme="minorHAnsi"/>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D62EB3" w14:textId="1B6E9C68" w:rsidR="00E5474F" w:rsidRPr="00D04DA2" w:rsidRDefault="00D33217"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N/A</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9CA759A" w14:textId="561164B9" w:rsidR="00E5474F" w:rsidRPr="00D04DA2" w:rsidRDefault="00E5474F" w:rsidP="00D04DA2">
            <w:pPr>
              <w:spacing w:after="0" w:line="240" w:lineRule="auto"/>
              <w:contextualSpacing/>
              <w:rPr>
                <w:rFonts w:eastAsia="Calibri" w:cstheme="minorHAnsi"/>
                <w:sz w:val="20"/>
                <w:szCs w:val="20"/>
              </w:rPr>
            </w:pPr>
            <w:r w:rsidRPr="00D04DA2">
              <w:rPr>
                <w:rFonts w:cstheme="minorHAnsi"/>
                <w:color w:val="000000" w:themeColor="text1"/>
                <w:sz w:val="20"/>
                <w:szCs w:val="20"/>
              </w:rPr>
              <w:t>European Bank for Reconstruction and Development</w:t>
            </w:r>
            <w:r w:rsidR="00BC7EB8">
              <w:rPr>
                <w:rFonts w:cstheme="minorHAnsi"/>
                <w:color w:val="000000" w:themeColor="text1"/>
                <w:sz w:val="20"/>
                <w:szCs w:val="20"/>
              </w:rPr>
              <w:t xml:space="preserve"> (EBRD)</w:t>
            </w:r>
          </w:p>
          <w:p w14:paraId="570E5010" w14:textId="77777777" w:rsidR="00E5474F" w:rsidRPr="00D04DA2" w:rsidRDefault="00E5474F" w:rsidP="00D04DA2">
            <w:pPr>
              <w:spacing w:after="0" w:line="240" w:lineRule="auto"/>
              <w:contextualSpacing/>
              <w:rPr>
                <w:rFonts w:cstheme="minorHAnsi"/>
                <w:color w:val="000000"/>
                <w:sz w:val="20"/>
                <w:szCs w:val="20"/>
              </w:rPr>
            </w:pPr>
          </w:p>
        </w:tc>
        <w:tc>
          <w:tcPr>
            <w:tcW w:w="1341" w:type="dxa"/>
            <w:tcBorders>
              <w:top w:val="single" w:sz="4" w:space="0" w:color="auto"/>
              <w:left w:val="nil"/>
              <w:bottom w:val="single" w:sz="4" w:space="0" w:color="auto"/>
              <w:right w:val="single" w:sz="4" w:space="0" w:color="auto"/>
            </w:tcBorders>
            <w:shd w:val="clear" w:color="auto" w:fill="auto"/>
          </w:tcPr>
          <w:p w14:paraId="50255685" w14:textId="4D41193F"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 xml:space="preserve">Public sector organization </w:t>
            </w:r>
            <w:r w:rsidR="00BC1628" w:rsidRPr="00D04DA2">
              <w:rPr>
                <w:rFonts w:eastAsia="Calibri" w:cstheme="minorHAnsi"/>
                <w:sz w:val="20"/>
                <w:szCs w:val="20"/>
              </w:rPr>
              <w:t>(</w:t>
            </w:r>
            <w:r w:rsidRPr="00D04DA2">
              <w:rPr>
                <w:rFonts w:cstheme="minorHAnsi"/>
                <w:color w:val="000000" w:themeColor="text1"/>
                <w:sz w:val="20"/>
                <w:szCs w:val="20"/>
              </w:rPr>
              <w:t>Questionnaires to member states</w:t>
            </w:r>
            <w:r w:rsidR="00BC1628" w:rsidRPr="00D04DA2">
              <w:rPr>
                <w:rFonts w:cstheme="minorHAnsi"/>
                <w:color w:val="000000" w:themeColor="text1"/>
                <w:sz w:val="20"/>
                <w:szCs w:val="20"/>
              </w:rPr>
              <w:t>)</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74831A5" w14:textId="04C2953C" w:rsidR="002D21EC"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An assessment of national insolvency frameworks. The assessment based on w</w:t>
            </w:r>
            <w:r w:rsidRPr="00D04DA2">
              <w:rPr>
                <w:rFonts w:eastAsia="Calibri" w:cstheme="minorHAnsi"/>
                <w:sz w:val="20"/>
                <w:szCs w:val="20"/>
              </w:rPr>
              <w:t xml:space="preserve">eighted/scoring questions aimed at providing </w:t>
            </w:r>
            <w:r w:rsidRPr="00D04DA2">
              <w:rPr>
                <w:rFonts w:cstheme="minorHAnsi"/>
                <w:color w:val="000000" w:themeColor="text1"/>
                <w:sz w:val="20"/>
                <w:szCs w:val="20"/>
              </w:rPr>
              <w:t>the EBRD, its economies of operations, investors, and other stakeholders with an up-to-date overview of business reorganization tools and to propose any areas where further development of national legislation is needed.</w:t>
            </w:r>
          </w:p>
          <w:p w14:paraId="4374FA64" w14:textId="375A5951" w:rsidR="00E5474F" w:rsidRPr="00D04DA2" w:rsidRDefault="00E5474F" w:rsidP="00D04DA2">
            <w:pPr>
              <w:spacing w:after="0" w:line="240" w:lineRule="auto"/>
              <w:contextualSpacing/>
              <w:rPr>
                <w:rFonts w:cstheme="minorHAnsi"/>
                <w:color w:val="000000" w:themeColor="text1"/>
                <w:sz w:val="20"/>
                <w:szCs w:val="20"/>
              </w:rPr>
            </w:pPr>
          </w:p>
        </w:tc>
        <w:tc>
          <w:tcPr>
            <w:tcW w:w="1485" w:type="dxa"/>
            <w:tcBorders>
              <w:top w:val="single" w:sz="4" w:space="0" w:color="auto"/>
              <w:left w:val="nil"/>
              <w:bottom w:val="single" w:sz="4" w:space="0" w:color="auto"/>
              <w:right w:val="single" w:sz="4" w:space="0" w:color="auto"/>
            </w:tcBorders>
          </w:tcPr>
          <w:p w14:paraId="66E3A026" w14:textId="664A7E39" w:rsidR="00E5474F" w:rsidRPr="00D04DA2" w:rsidRDefault="00555159"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9B6B281" w14:textId="419B556D" w:rsidR="00E5474F" w:rsidRPr="00D04DA2" w:rsidRDefault="00E874A9" w:rsidP="00D04DA2">
            <w:pPr>
              <w:spacing w:after="0" w:line="240" w:lineRule="auto"/>
              <w:contextualSpacing/>
              <w:rPr>
                <w:rFonts w:cstheme="minorHAnsi"/>
                <w:color w:val="000000" w:themeColor="text1"/>
                <w:sz w:val="20"/>
                <w:szCs w:val="20"/>
                <w:lang w:val="es-MX"/>
              </w:rPr>
            </w:pPr>
            <w:r w:rsidRPr="00D04DA2">
              <w:rPr>
                <w:rFonts w:cstheme="minorHAnsi"/>
                <w:color w:val="000000" w:themeColor="text1"/>
                <w:sz w:val="20"/>
                <w:szCs w:val="20"/>
                <w:lang w:val="es-MX"/>
              </w:rPr>
              <w:t>Regional (</w:t>
            </w:r>
            <w:proofErr w:type="spellStart"/>
            <w:r w:rsidR="007F313B" w:rsidRPr="00D04DA2">
              <w:rPr>
                <w:rFonts w:cstheme="minorHAnsi"/>
                <w:color w:val="000000" w:themeColor="text1"/>
                <w:sz w:val="20"/>
                <w:szCs w:val="20"/>
                <w:lang w:val="es-MX"/>
              </w:rPr>
              <w:t>selected</w:t>
            </w:r>
            <w:proofErr w:type="spellEnd"/>
            <w:r w:rsidR="004A2A76" w:rsidRPr="00D04DA2">
              <w:rPr>
                <w:rFonts w:cstheme="minorHAnsi"/>
                <w:color w:val="000000" w:themeColor="text1"/>
                <w:sz w:val="20"/>
                <w:szCs w:val="20"/>
                <w:lang w:val="es-MX"/>
              </w:rPr>
              <w:t xml:space="preserve"> </w:t>
            </w:r>
            <w:r w:rsidRPr="00D04DA2">
              <w:rPr>
                <w:rFonts w:cstheme="minorHAnsi"/>
                <w:color w:val="000000" w:themeColor="text1"/>
                <w:sz w:val="20"/>
                <w:szCs w:val="20"/>
                <w:lang w:val="es-MX"/>
              </w:rPr>
              <w:t xml:space="preserve">ECA, MENA &amp; OECD </w:t>
            </w:r>
            <w:proofErr w:type="spellStart"/>
            <w:r w:rsidRPr="00D04DA2">
              <w:rPr>
                <w:rFonts w:cstheme="minorHAnsi"/>
                <w:color w:val="000000" w:themeColor="text1"/>
                <w:sz w:val="20"/>
                <w:szCs w:val="20"/>
                <w:lang w:val="es-MX"/>
              </w:rPr>
              <w:t>economies</w:t>
            </w:r>
            <w:proofErr w:type="spellEnd"/>
            <w:r w:rsidRPr="00D04DA2">
              <w:rPr>
                <w:rFonts w:cstheme="minorHAnsi"/>
                <w:color w:val="000000" w:themeColor="text1"/>
                <w:sz w:val="20"/>
                <w:szCs w:val="20"/>
                <w:lang w:val="es-MX"/>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EAF971"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36 economies</w:t>
            </w:r>
          </w:p>
        </w:tc>
        <w:tc>
          <w:tcPr>
            <w:tcW w:w="1418" w:type="dxa"/>
            <w:tcBorders>
              <w:top w:val="single" w:sz="4" w:space="0" w:color="auto"/>
              <w:left w:val="single" w:sz="4" w:space="0" w:color="auto"/>
              <w:bottom w:val="single" w:sz="4" w:space="0" w:color="auto"/>
              <w:right w:val="single" w:sz="4" w:space="0" w:color="auto"/>
            </w:tcBorders>
          </w:tcPr>
          <w:p w14:paraId="61B17CCB" w14:textId="3993132C" w:rsidR="00E5474F" w:rsidRPr="00D04DA2" w:rsidRDefault="00B4535A" w:rsidP="00D04DA2">
            <w:pPr>
              <w:spacing w:after="0" w:line="240" w:lineRule="auto"/>
              <w:contextualSpacing/>
              <w:rPr>
                <w:rFonts w:cstheme="minorHAnsi"/>
                <w:color w:val="000000" w:themeColor="text1"/>
                <w:sz w:val="20"/>
                <w:szCs w:val="20"/>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CCEEF9" w14:textId="25407B9F"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New </w:t>
            </w:r>
            <w:r w:rsidR="00E448C2" w:rsidRPr="00D04DA2">
              <w:rPr>
                <w:rFonts w:cstheme="minorHAnsi"/>
                <w:color w:val="000000" w:themeColor="text1"/>
                <w:sz w:val="20"/>
                <w:szCs w:val="20"/>
              </w:rPr>
              <w:t>i</w:t>
            </w:r>
            <w:r w:rsidRPr="00D04DA2">
              <w:rPr>
                <w:rFonts w:cstheme="minorHAnsi"/>
                <w:color w:val="000000" w:themeColor="text1"/>
                <w:sz w:val="20"/>
                <w:szCs w:val="20"/>
              </w:rPr>
              <w:t>ndex</w:t>
            </w:r>
            <w:r w:rsidR="00F35546" w:rsidRPr="00D04DA2">
              <w:rPr>
                <w:rFonts w:cstheme="minorHAnsi"/>
                <w:color w:val="000000" w:themeColor="text1"/>
                <w:sz w:val="20"/>
                <w:szCs w:val="20"/>
              </w:rPr>
              <w:t>.</w:t>
            </w:r>
          </w:p>
          <w:p w14:paraId="6794DC01" w14:textId="77777777" w:rsidR="00213C7C" w:rsidRPr="00D04DA2" w:rsidRDefault="00213C7C" w:rsidP="00D04DA2">
            <w:pPr>
              <w:spacing w:after="0" w:line="240" w:lineRule="auto"/>
              <w:contextualSpacing/>
              <w:rPr>
                <w:rFonts w:cstheme="minorHAnsi"/>
                <w:color w:val="000000" w:themeColor="text1"/>
                <w:sz w:val="20"/>
                <w:szCs w:val="20"/>
              </w:rPr>
            </w:pPr>
          </w:p>
          <w:p w14:paraId="01706A8D" w14:textId="6960828D" w:rsidR="00213C7C" w:rsidRPr="00D04DA2" w:rsidRDefault="00213C7C" w:rsidP="00D04DA2">
            <w:pPr>
              <w:spacing w:after="0" w:line="240" w:lineRule="auto"/>
              <w:contextualSpacing/>
              <w:rPr>
                <w:rFonts w:cstheme="minorHAnsi"/>
                <w:color w:val="000000"/>
                <w:sz w:val="20"/>
                <w:szCs w:val="20"/>
              </w:rPr>
            </w:pPr>
            <w:r w:rsidRPr="00D04DA2">
              <w:rPr>
                <w:rFonts w:cstheme="minorHAnsi"/>
                <w:color w:val="000000" w:themeColor="text1"/>
                <w:sz w:val="20"/>
                <w:szCs w:val="20"/>
              </w:rPr>
              <w:t xml:space="preserve">The indicator is published for </w:t>
            </w:r>
            <w:r w:rsidR="76901AFB" w:rsidRPr="00D04DA2">
              <w:rPr>
                <w:rFonts w:cstheme="minorHAnsi"/>
                <w:color w:val="000000" w:themeColor="text1"/>
                <w:sz w:val="20"/>
                <w:szCs w:val="20"/>
              </w:rPr>
              <w:t>2020</w:t>
            </w:r>
            <w:r w:rsidR="00634C2F" w:rsidRPr="00D04DA2">
              <w:rPr>
                <w:rFonts w:cstheme="minorHAnsi"/>
                <w:color w:val="000000" w:themeColor="text1"/>
                <w:sz w:val="20"/>
                <w:szCs w:val="20"/>
              </w:rPr>
              <w:t>.</w:t>
            </w:r>
            <w:r w:rsidR="33DE1475" w:rsidRPr="00D04DA2">
              <w:rPr>
                <w:rFonts w:cstheme="minorHAnsi"/>
                <w:color w:val="000000" w:themeColor="text1"/>
                <w:sz w:val="20"/>
                <w:szCs w:val="20"/>
              </w:rPr>
              <w:t xml:space="preserve"> (</w:t>
            </w:r>
            <w:r w:rsidR="00C101B7" w:rsidRPr="00D04DA2">
              <w:rPr>
                <w:rFonts w:cstheme="minorHAnsi"/>
                <w:color w:val="000000" w:themeColor="text1"/>
                <w:sz w:val="20"/>
                <w:szCs w:val="20"/>
              </w:rPr>
              <w:t xml:space="preserve">The </w:t>
            </w:r>
            <w:r w:rsidR="33DE1475" w:rsidRPr="00D04DA2">
              <w:rPr>
                <w:rFonts w:cstheme="minorHAnsi"/>
                <w:color w:val="000000" w:themeColor="text1"/>
                <w:sz w:val="20"/>
                <w:szCs w:val="20"/>
              </w:rPr>
              <w:t xml:space="preserve">questionnaire </w:t>
            </w:r>
            <w:r w:rsidR="00C101B7" w:rsidRPr="00D04DA2">
              <w:rPr>
                <w:rFonts w:cstheme="minorHAnsi"/>
                <w:color w:val="000000" w:themeColor="text1"/>
                <w:sz w:val="20"/>
                <w:szCs w:val="20"/>
              </w:rPr>
              <w:t xml:space="preserve">was </w:t>
            </w:r>
            <w:r w:rsidR="33DE1475" w:rsidRPr="00D04DA2">
              <w:rPr>
                <w:rFonts w:cstheme="minorHAnsi"/>
                <w:color w:val="000000" w:themeColor="text1"/>
                <w:sz w:val="20"/>
                <w:szCs w:val="20"/>
              </w:rPr>
              <w:t>closed in November 2020</w:t>
            </w:r>
            <w:r w:rsidR="00634C2F" w:rsidRPr="00D04DA2">
              <w:rPr>
                <w:rFonts w:cstheme="minorHAnsi"/>
                <w:color w:val="000000" w:themeColor="text1"/>
                <w:sz w:val="20"/>
                <w:szCs w:val="20"/>
              </w:rPr>
              <w:t>.</w:t>
            </w:r>
            <w:r w:rsidR="33DE1475"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75B8082A" w14:textId="53469CA5" w:rsidR="00E5474F" w:rsidRPr="00D04DA2" w:rsidRDefault="00FA1285" w:rsidP="00D04DA2">
            <w:pPr>
              <w:spacing w:after="0" w:line="240" w:lineRule="auto"/>
              <w:contextualSpacing/>
              <w:rPr>
                <w:rFonts w:cstheme="minorHAnsi"/>
                <w:color w:val="0563C1"/>
                <w:sz w:val="20"/>
                <w:szCs w:val="20"/>
                <w:u w:val="single"/>
              </w:rPr>
            </w:pPr>
            <w:hyperlink r:id="rId60" w:history="1">
              <w:r w:rsidR="00DF6D54" w:rsidRPr="00D04DA2">
                <w:rPr>
                  <w:rStyle w:val="Hyperlink"/>
                  <w:rFonts w:cstheme="minorHAnsi"/>
                  <w:sz w:val="20"/>
                  <w:szCs w:val="20"/>
                </w:rPr>
                <w:t>https://www.ebrd-restructuring.com/storage/uploads/documents/94228029cc1b26d88b75222c6a9d0df0.pdf</w:t>
              </w:r>
            </w:hyperlink>
          </w:p>
          <w:p w14:paraId="23A750F9" w14:textId="77777777" w:rsidR="00DF6D54" w:rsidRPr="00D04DA2" w:rsidRDefault="00DF6D54" w:rsidP="00D04DA2">
            <w:pPr>
              <w:spacing w:after="0" w:line="240" w:lineRule="auto"/>
              <w:contextualSpacing/>
              <w:rPr>
                <w:rFonts w:cstheme="minorHAnsi"/>
                <w:color w:val="0563C1"/>
                <w:sz w:val="20"/>
                <w:szCs w:val="20"/>
                <w:u w:val="single"/>
              </w:rPr>
            </w:pPr>
          </w:p>
          <w:p w14:paraId="50B4587F" w14:textId="086F5DC6" w:rsidR="00E5474F" w:rsidRPr="00D04DA2" w:rsidRDefault="00DF6D54" w:rsidP="00D04DA2">
            <w:pPr>
              <w:spacing w:after="0" w:line="240" w:lineRule="auto"/>
              <w:contextualSpacing/>
              <w:rPr>
                <w:rFonts w:cstheme="minorHAnsi"/>
                <w:color w:val="0563C1"/>
                <w:sz w:val="20"/>
                <w:szCs w:val="20"/>
                <w:u w:val="single"/>
              </w:rPr>
            </w:pPr>
            <w:r w:rsidRPr="00D04DA2">
              <w:rPr>
                <w:rFonts w:eastAsia="Times New Roman" w:cstheme="minorHAnsi"/>
                <w:b/>
                <w:color w:val="FF0000"/>
                <w:sz w:val="20"/>
                <w:szCs w:val="20"/>
              </w:rPr>
              <w:t xml:space="preserve">The data </w:t>
            </w:r>
            <w:r w:rsidR="00C101B7" w:rsidRPr="00D04DA2">
              <w:rPr>
                <w:rFonts w:eastAsia="Times New Roman" w:cstheme="minorHAnsi"/>
                <w:b/>
                <w:color w:val="FF0000"/>
                <w:sz w:val="20"/>
                <w:szCs w:val="20"/>
              </w:rPr>
              <w:t>is</w:t>
            </w:r>
            <w:r w:rsidRPr="00D04DA2">
              <w:rPr>
                <w:rFonts w:eastAsia="Times New Roman" w:cstheme="minorHAnsi"/>
                <w:b/>
                <w:color w:val="FF0000"/>
                <w:sz w:val="20"/>
                <w:szCs w:val="20"/>
              </w:rPr>
              <w:t xml:space="preserve"> </w:t>
            </w:r>
            <w:r w:rsidR="00A533D1" w:rsidRPr="00D04DA2">
              <w:rPr>
                <w:rFonts w:eastAsia="Times New Roman" w:cstheme="minorHAnsi"/>
                <w:b/>
                <w:color w:val="FF0000"/>
                <w:sz w:val="20"/>
                <w:szCs w:val="20"/>
              </w:rPr>
              <w:t>presented</w:t>
            </w:r>
            <w:r w:rsidRPr="00D04DA2">
              <w:rPr>
                <w:rFonts w:eastAsia="Times New Roman" w:cstheme="minorHAnsi"/>
                <w:b/>
                <w:color w:val="FF0000"/>
                <w:sz w:val="20"/>
                <w:szCs w:val="20"/>
              </w:rPr>
              <w:t xml:space="preserve"> in </w:t>
            </w:r>
            <w:r w:rsidR="00A533D1" w:rsidRPr="00D04DA2">
              <w:rPr>
                <w:rFonts w:eastAsia="Times New Roman" w:cstheme="minorHAnsi"/>
                <w:b/>
                <w:color w:val="FF0000"/>
                <w:sz w:val="20"/>
                <w:szCs w:val="20"/>
              </w:rPr>
              <w:t>chart</w:t>
            </w:r>
            <w:r w:rsidRPr="00D04DA2">
              <w:rPr>
                <w:rFonts w:eastAsia="Times New Roman" w:cstheme="minorHAnsi"/>
                <w:b/>
                <w:color w:val="FF0000"/>
                <w:sz w:val="20"/>
                <w:szCs w:val="20"/>
              </w:rPr>
              <w:t xml:space="preserve"> only. It is not currently available in an editable format.</w:t>
            </w:r>
          </w:p>
        </w:tc>
      </w:tr>
      <w:tr w:rsidR="00500C09" w:rsidRPr="00D04DA2" w14:paraId="6CD12C80"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5C95BF41" w14:textId="6A4C7B98" w:rsidR="00E5474F" w:rsidRPr="00D04DA2" w:rsidRDefault="00C93770" w:rsidP="00D04DA2">
            <w:pPr>
              <w:spacing w:after="0" w:line="240" w:lineRule="auto"/>
              <w:contextualSpacing/>
              <w:rPr>
                <w:rFonts w:cstheme="minorHAnsi"/>
                <w:color w:val="000000" w:themeColor="text1"/>
                <w:sz w:val="20"/>
                <w:szCs w:val="20"/>
              </w:rPr>
            </w:pPr>
            <w:r>
              <w:rPr>
                <w:rFonts w:cstheme="minorHAnsi"/>
                <w:color w:val="000000" w:themeColor="text1"/>
                <w:sz w:val="20"/>
                <w:szCs w:val="20"/>
              </w:rPr>
              <w:lastRenderedPageBreak/>
              <w:t>59</w:t>
            </w:r>
          </w:p>
        </w:tc>
        <w:tc>
          <w:tcPr>
            <w:tcW w:w="1341" w:type="dxa"/>
            <w:tcBorders>
              <w:top w:val="single" w:sz="4" w:space="0" w:color="auto"/>
              <w:left w:val="single" w:sz="4" w:space="0" w:color="auto"/>
              <w:bottom w:val="single" w:sz="4" w:space="0" w:color="auto"/>
              <w:right w:val="nil"/>
            </w:tcBorders>
            <w:shd w:val="clear" w:color="auto" w:fill="auto"/>
          </w:tcPr>
          <w:p w14:paraId="77D7162C"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Resolving Insolvency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17A95F7"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Closing a business</w:t>
            </w:r>
          </w:p>
        </w:tc>
        <w:tc>
          <w:tcPr>
            <w:tcW w:w="1393" w:type="dxa"/>
            <w:tcBorders>
              <w:top w:val="single" w:sz="4" w:space="0" w:color="auto"/>
              <w:left w:val="single" w:sz="4" w:space="0" w:color="auto"/>
              <w:bottom w:val="single" w:sz="4" w:space="0" w:color="auto"/>
              <w:right w:val="nil"/>
            </w:tcBorders>
            <w:shd w:val="clear" w:color="auto" w:fill="auto"/>
          </w:tcPr>
          <w:p w14:paraId="26D7E180" w14:textId="1A6A49B4"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Jurisdiction ranking assessments for</w:t>
            </w:r>
          </w:p>
          <w:p w14:paraId="42F2AAE4"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the insolvency regimes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F3B5C8" w14:textId="625739CC" w:rsidR="00E5474F" w:rsidRPr="00D04DA2" w:rsidRDefault="00A1243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N/A</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D9176B8"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Standard &amp; Poor's Ratings Services</w:t>
            </w:r>
          </w:p>
          <w:p w14:paraId="50847279" w14:textId="77777777" w:rsidR="00E5474F" w:rsidRPr="00D04DA2" w:rsidRDefault="00E5474F" w:rsidP="00D04DA2">
            <w:pPr>
              <w:spacing w:after="0" w:line="240" w:lineRule="auto"/>
              <w:contextualSpacing/>
              <w:rPr>
                <w:rFonts w:cstheme="minorHAnsi"/>
                <w:color w:val="000000" w:themeColor="text1"/>
                <w:sz w:val="20"/>
                <w:szCs w:val="20"/>
              </w:rPr>
            </w:pPr>
          </w:p>
        </w:tc>
        <w:tc>
          <w:tcPr>
            <w:tcW w:w="1341" w:type="dxa"/>
            <w:tcBorders>
              <w:top w:val="single" w:sz="4" w:space="0" w:color="auto"/>
              <w:left w:val="nil"/>
              <w:bottom w:val="single" w:sz="4" w:space="0" w:color="auto"/>
              <w:right w:val="single" w:sz="4" w:space="0" w:color="auto"/>
            </w:tcBorders>
            <w:shd w:val="clear" w:color="auto" w:fill="auto"/>
          </w:tcPr>
          <w:p w14:paraId="04285FA8" w14:textId="55726831" w:rsidR="00E5474F" w:rsidRPr="00D04DA2" w:rsidRDefault="00E5474F" w:rsidP="00D04DA2">
            <w:pPr>
              <w:spacing w:after="0" w:line="240" w:lineRule="auto"/>
              <w:contextualSpacing/>
              <w:rPr>
                <w:rFonts w:eastAsia="Calibri" w:cstheme="minorHAnsi"/>
                <w:sz w:val="20"/>
                <w:szCs w:val="20"/>
              </w:rPr>
            </w:pPr>
            <w:r w:rsidRPr="00D04DA2">
              <w:rPr>
                <w:rFonts w:eastAsia="Calibri" w:cstheme="minorHAnsi"/>
                <w:sz w:val="20"/>
                <w:szCs w:val="20"/>
              </w:rPr>
              <w:t>Commercial business information provider</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BEA5F63"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Jurisdiction ranking assessments indicating the relative degree of protection that a country's insolvency laws and practices afford to creditors' interests, and the predictability of those proceedings</w:t>
            </w:r>
          </w:p>
        </w:tc>
        <w:tc>
          <w:tcPr>
            <w:tcW w:w="1485" w:type="dxa"/>
            <w:tcBorders>
              <w:top w:val="single" w:sz="4" w:space="0" w:color="auto"/>
              <w:left w:val="nil"/>
              <w:bottom w:val="single" w:sz="4" w:space="0" w:color="auto"/>
              <w:right w:val="single" w:sz="4" w:space="0" w:color="auto"/>
            </w:tcBorders>
          </w:tcPr>
          <w:p w14:paraId="5DCE56F7" w14:textId="5CA5F8E6" w:rsidR="00E5474F" w:rsidRPr="00D04DA2" w:rsidRDefault="00555159"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Policy metrics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95A2B04" w14:textId="53256CDE"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Global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30E7F5" w14:textId="4C83548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3</w:t>
            </w:r>
            <w:r w:rsidR="00F31D30">
              <w:rPr>
                <w:rFonts w:cstheme="minorHAnsi"/>
                <w:color w:val="000000" w:themeColor="text1"/>
                <w:sz w:val="20"/>
                <w:szCs w:val="20"/>
              </w:rPr>
              <w:t>9</w:t>
            </w:r>
            <w:r w:rsidRPr="00D04DA2">
              <w:rPr>
                <w:rFonts w:cstheme="minorHAnsi"/>
                <w:color w:val="000000" w:themeColor="text1"/>
                <w:sz w:val="20"/>
                <w:szCs w:val="20"/>
              </w:rPr>
              <w:t xml:space="preserve"> economies</w:t>
            </w:r>
          </w:p>
        </w:tc>
        <w:tc>
          <w:tcPr>
            <w:tcW w:w="1418" w:type="dxa"/>
            <w:tcBorders>
              <w:top w:val="single" w:sz="4" w:space="0" w:color="auto"/>
              <w:left w:val="single" w:sz="4" w:space="0" w:color="auto"/>
              <w:bottom w:val="single" w:sz="4" w:space="0" w:color="auto"/>
              <w:right w:val="single" w:sz="4" w:space="0" w:color="auto"/>
            </w:tcBorders>
          </w:tcPr>
          <w:p w14:paraId="1976F949" w14:textId="6DF511EA" w:rsidR="00E5474F" w:rsidRPr="00D04DA2" w:rsidRDefault="00F31D30" w:rsidP="00D04DA2">
            <w:pPr>
              <w:spacing w:after="0" w:line="240" w:lineRule="auto"/>
              <w:contextualSpacing/>
              <w:rPr>
                <w:rFonts w:cstheme="minorHAnsi"/>
                <w:color w:val="000000" w:themeColor="text1"/>
                <w:sz w:val="20"/>
                <w:szCs w:val="20"/>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3F81FC" w14:textId="3BD38534" w:rsidR="00E5474F" w:rsidRPr="00D04DA2" w:rsidRDefault="009712A8"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w:t>
            </w:r>
            <w:r w:rsidR="00EF36D2" w:rsidRPr="00D04DA2">
              <w:rPr>
                <w:rFonts w:cstheme="minorHAnsi"/>
                <w:color w:val="000000" w:themeColor="text1"/>
                <w:sz w:val="20"/>
                <w:szCs w:val="20"/>
              </w:rPr>
              <w:t>indicator i</w:t>
            </w:r>
            <w:r w:rsidRPr="00D04DA2">
              <w:rPr>
                <w:rFonts w:cstheme="minorHAnsi"/>
                <w:color w:val="000000" w:themeColor="text1"/>
                <w:sz w:val="20"/>
                <w:szCs w:val="20"/>
              </w:rPr>
              <w:t xml:space="preserve">s </w:t>
            </w:r>
            <w:r w:rsidR="00E5474F" w:rsidRPr="00D04DA2">
              <w:rPr>
                <w:rFonts w:cstheme="minorHAnsi"/>
                <w:color w:val="000000" w:themeColor="text1"/>
                <w:sz w:val="20"/>
                <w:szCs w:val="20"/>
              </w:rPr>
              <w:t xml:space="preserve">published </w:t>
            </w:r>
            <w:r w:rsidR="00EF36D2" w:rsidRPr="00D04DA2">
              <w:rPr>
                <w:rFonts w:cstheme="minorHAnsi"/>
                <w:color w:val="000000" w:themeColor="text1"/>
                <w:sz w:val="20"/>
                <w:szCs w:val="20"/>
              </w:rPr>
              <w:t>for</w:t>
            </w:r>
            <w:r w:rsidR="00E5474F" w:rsidRPr="00D04DA2">
              <w:rPr>
                <w:rFonts w:cstheme="minorHAnsi"/>
                <w:color w:val="000000" w:themeColor="text1"/>
                <w:sz w:val="20"/>
                <w:szCs w:val="20"/>
              </w:rPr>
              <w:t xml:space="preserve"> 2019</w:t>
            </w:r>
            <w:r w:rsidR="00EF36D2" w:rsidRPr="00D04DA2">
              <w:rPr>
                <w:rFonts w:cstheme="minorHAnsi"/>
                <w:color w:val="000000" w:themeColor="text1"/>
                <w:sz w:val="20"/>
                <w:szCs w:val="20"/>
              </w:rPr>
              <w:t>.</w:t>
            </w:r>
          </w:p>
        </w:tc>
        <w:tc>
          <w:tcPr>
            <w:tcW w:w="1664" w:type="dxa"/>
            <w:tcBorders>
              <w:top w:val="single" w:sz="4" w:space="0" w:color="auto"/>
              <w:left w:val="nil"/>
              <w:bottom w:val="single" w:sz="4" w:space="0" w:color="auto"/>
              <w:right w:val="single" w:sz="4" w:space="0" w:color="auto"/>
            </w:tcBorders>
            <w:shd w:val="clear" w:color="auto" w:fill="auto"/>
          </w:tcPr>
          <w:p w14:paraId="2D6A948A" w14:textId="1044269D" w:rsidR="00E5474F" w:rsidRPr="00D04DA2" w:rsidRDefault="00302313" w:rsidP="00D04DA2">
            <w:pPr>
              <w:spacing w:after="0" w:line="240" w:lineRule="auto"/>
              <w:contextualSpacing/>
              <w:rPr>
                <w:rFonts w:eastAsia="Calibri" w:cstheme="minorHAnsi"/>
                <w:sz w:val="20"/>
                <w:szCs w:val="20"/>
              </w:rPr>
            </w:pPr>
            <w:r w:rsidRPr="00D04DA2">
              <w:rPr>
                <w:rFonts w:eastAsia="Calibri" w:cstheme="minorHAnsi"/>
                <w:b/>
                <w:bCs/>
                <w:color w:val="FF0000"/>
                <w:sz w:val="20"/>
                <w:szCs w:val="20"/>
              </w:rPr>
              <w:t xml:space="preserve">The data </w:t>
            </w:r>
            <w:r w:rsidR="00E660C9" w:rsidRPr="00D04DA2">
              <w:rPr>
                <w:rFonts w:eastAsia="Calibri" w:cstheme="minorHAnsi"/>
                <w:b/>
                <w:bCs/>
                <w:color w:val="FF0000"/>
                <w:sz w:val="20"/>
                <w:szCs w:val="20"/>
              </w:rPr>
              <w:t>is</w:t>
            </w:r>
            <w:r w:rsidRPr="00D04DA2">
              <w:rPr>
                <w:rFonts w:eastAsia="Calibri" w:cstheme="minorHAnsi"/>
                <w:b/>
                <w:bCs/>
                <w:color w:val="FF0000"/>
                <w:sz w:val="20"/>
                <w:szCs w:val="20"/>
              </w:rPr>
              <w:t xml:space="preserve"> a</w:t>
            </w:r>
            <w:r w:rsidR="00E5474F" w:rsidRPr="00D04DA2">
              <w:rPr>
                <w:rFonts w:eastAsia="Calibri" w:cstheme="minorHAnsi"/>
                <w:b/>
                <w:bCs/>
                <w:color w:val="FF0000"/>
                <w:sz w:val="20"/>
                <w:szCs w:val="20"/>
              </w:rPr>
              <w:t xml:space="preserve">vailable </w:t>
            </w:r>
            <w:r w:rsidR="00E26E6A" w:rsidRPr="00D04DA2">
              <w:rPr>
                <w:rFonts w:eastAsia="Calibri" w:cstheme="minorHAnsi"/>
                <w:b/>
                <w:bCs/>
                <w:color w:val="FF0000"/>
                <w:sz w:val="20"/>
                <w:szCs w:val="20"/>
              </w:rPr>
              <w:t>to members</w:t>
            </w:r>
            <w:r w:rsidRPr="00D04DA2">
              <w:rPr>
                <w:rFonts w:eastAsia="Calibri" w:cstheme="minorHAnsi"/>
                <w:b/>
                <w:bCs/>
                <w:color w:val="FF0000"/>
                <w:sz w:val="20"/>
                <w:szCs w:val="20"/>
              </w:rPr>
              <w:t xml:space="preserve"> only</w:t>
            </w:r>
            <w:r w:rsidR="00E5474F" w:rsidRPr="00D04DA2">
              <w:rPr>
                <w:rFonts w:eastAsia="Calibri" w:cstheme="minorHAnsi"/>
                <w:b/>
                <w:bCs/>
                <w:color w:val="FF0000"/>
                <w:sz w:val="20"/>
                <w:szCs w:val="20"/>
              </w:rPr>
              <w:t>.</w:t>
            </w:r>
            <w:r w:rsidR="00E5474F" w:rsidRPr="00D04DA2">
              <w:rPr>
                <w:rFonts w:eastAsia="Calibri" w:cstheme="minorHAnsi"/>
                <w:color w:val="FF0000"/>
                <w:sz w:val="20"/>
                <w:szCs w:val="20"/>
              </w:rPr>
              <w:t xml:space="preserve"> </w:t>
            </w:r>
          </w:p>
        </w:tc>
      </w:tr>
      <w:tr w:rsidR="00500C09" w:rsidRPr="00D04DA2" w14:paraId="5959B79A" w14:textId="77777777" w:rsidTr="167C0426">
        <w:trPr>
          <w:trHeight w:val="275"/>
        </w:trPr>
        <w:tc>
          <w:tcPr>
            <w:tcW w:w="510" w:type="dxa"/>
            <w:tcBorders>
              <w:top w:val="single" w:sz="4" w:space="0" w:color="auto"/>
              <w:left w:val="single" w:sz="4" w:space="0" w:color="auto"/>
              <w:bottom w:val="single" w:sz="4" w:space="0" w:color="auto"/>
              <w:right w:val="nil"/>
            </w:tcBorders>
            <w:shd w:val="clear" w:color="auto" w:fill="auto"/>
          </w:tcPr>
          <w:p w14:paraId="2FA51772" w14:textId="779069C4" w:rsidR="00E5474F" w:rsidRPr="00D04DA2" w:rsidRDefault="75C84F64"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6</w:t>
            </w:r>
            <w:r w:rsidR="00C93770">
              <w:rPr>
                <w:rFonts w:cstheme="minorHAnsi"/>
                <w:color w:val="000000" w:themeColor="text1"/>
                <w:sz w:val="20"/>
                <w:szCs w:val="20"/>
              </w:rPr>
              <w:t>0</w:t>
            </w:r>
          </w:p>
        </w:tc>
        <w:tc>
          <w:tcPr>
            <w:tcW w:w="1341" w:type="dxa"/>
            <w:tcBorders>
              <w:top w:val="single" w:sz="4" w:space="0" w:color="auto"/>
              <w:left w:val="single" w:sz="4" w:space="0" w:color="auto"/>
              <w:bottom w:val="single" w:sz="4" w:space="0" w:color="auto"/>
              <w:right w:val="nil"/>
            </w:tcBorders>
            <w:shd w:val="clear" w:color="auto" w:fill="auto"/>
          </w:tcPr>
          <w:p w14:paraId="6B814E72"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Resolving insolvency</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AAB6A0B"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Closing a business</w:t>
            </w:r>
          </w:p>
        </w:tc>
        <w:tc>
          <w:tcPr>
            <w:tcW w:w="1393" w:type="dxa"/>
            <w:tcBorders>
              <w:top w:val="single" w:sz="4" w:space="0" w:color="auto"/>
              <w:left w:val="single" w:sz="4" w:space="0" w:color="auto"/>
              <w:bottom w:val="single" w:sz="4" w:space="0" w:color="auto"/>
              <w:right w:val="nil"/>
            </w:tcBorders>
            <w:shd w:val="clear" w:color="auto" w:fill="auto"/>
          </w:tcPr>
          <w:p w14:paraId="7D1000EF"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Benchmarking of national loan enforcement frameworks</w:t>
            </w:r>
          </w:p>
          <w:p w14:paraId="6A00C1F7" w14:textId="77777777" w:rsidR="00E5474F" w:rsidRPr="00D04DA2" w:rsidRDefault="00E5474F" w:rsidP="00D04DA2">
            <w:pPr>
              <w:spacing w:after="0" w:line="240" w:lineRule="auto"/>
              <w:contextualSpacing/>
              <w:rPr>
                <w:rFonts w:cstheme="minorHAnsi"/>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1E055C" w14:textId="139CEB8D" w:rsidR="00E5474F" w:rsidRPr="00D04DA2" w:rsidRDefault="00815FA2"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N/A</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CC07217" w14:textId="11251FF1"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E</w:t>
            </w:r>
            <w:r w:rsidR="003A3A5E" w:rsidRPr="00D04DA2">
              <w:rPr>
                <w:rFonts w:cstheme="minorHAnsi"/>
                <w:color w:val="000000" w:themeColor="text1"/>
                <w:sz w:val="20"/>
                <w:szCs w:val="20"/>
              </w:rPr>
              <w:t xml:space="preserve">uropean </w:t>
            </w:r>
            <w:r w:rsidRPr="00D04DA2">
              <w:rPr>
                <w:rFonts w:cstheme="minorHAnsi"/>
                <w:color w:val="000000" w:themeColor="text1"/>
                <w:sz w:val="20"/>
                <w:szCs w:val="20"/>
              </w:rPr>
              <w:t>U</w:t>
            </w:r>
            <w:r w:rsidR="003A3A5E" w:rsidRPr="00D04DA2">
              <w:rPr>
                <w:rFonts w:cstheme="minorHAnsi"/>
                <w:color w:val="000000" w:themeColor="text1"/>
                <w:sz w:val="20"/>
                <w:szCs w:val="20"/>
              </w:rPr>
              <w:t>nion</w:t>
            </w:r>
            <w:r w:rsidRPr="00D04DA2">
              <w:rPr>
                <w:rFonts w:cstheme="minorHAnsi"/>
                <w:color w:val="000000" w:themeColor="text1"/>
                <w:sz w:val="20"/>
                <w:szCs w:val="20"/>
              </w:rPr>
              <w:t xml:space="preserve"> - European Banking Authority (EBA)</w:t>
            </w:r>
          </w:p>
        </w:tc>
        <w:tc>
          <w:tcPr>
            <w:tcW w:w="1341" w:type="dxa"/>
            <w:tcBorders>
              <w:top w:val="single" w:sz="4" w:space="0" w:color="auto"/>
              <w:left w:val="nil"/>
              <w:bottom w:val="single" w:sz="4" w:space="0" w:color="auto"/>
              <w:right w:val="single" w:sz="4" w:space="0" w:color="auto"/>
            </w:tcBorders>
            <w:shd w:val="clear" w:color="auto" w:fill="auto"/>
          </w:tcPr>
          <w:p w14:paraId="6DE5A3C2" w14:textId="211405A1" w:rsidR="00E5474F" w:rsidRPr="00D04DA2" w:rsidRDefault="00E5474F" w:rsidP="00D04DA2">
            <w:pPr>
              <w:spacing w:after="0" w:line="240" w:lineRule="auto"/>
              <w:contextualSpacing/>
              <w:rPr>
                <w:rFonts w:cstheme="minorHAnsi"/>
                <w:color w:val="000000" w:themeColor="text1"/>
                <w:sz w:val="20"/>
                <w:szCs w:val="20"/>
              </w:rPr>
            </w:pPr>
            <w:r w:rsidRPr="00D04DA2">
              <w:rPr>
                <w:rFonts w:eastAsia="Calibri" w:cstheme="minorHAnsi"/>
                <w:sz w:val="20"/>
                <w:szCs w:val="20"/>
              </w:rPr>
              <w:t>Public sector organization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DC84DA7"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Dataset of EU countries benchmarking recovery outcomes regarding bank loans and by studying the characteristics of country‐level loan enforcement procedures in terms of recovery rates and times to recovery.</w:t>
            </w:r>
          </w:p>
          <w:p w14:paraId="2857C308" w14:textId="77777777" w:rsidR="00E5474F" w:rsidRPr="00D04DA2" w:rsidRDefault="00E5474F" w:rsidP="00D04DA2">
            <w:pPr>
              <w:spacing w:after="0" w:line="240" w:lineRule="auto"/>
              <w:contextualSpacing/>
              <w:rPr>
                <w:rFonts w:cstheme="minorHAnsi"/>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tcPr>
          <w:p w14:paraId="4ACCEF68" w14:textId="16EAA165" w:rsidR="00E5474F" w:rsidRPr="00D04DA2" w:rsidRDefault="00555159" w:rsidP="00D04DA2">
            <w:pPr>
              <w:spacing w:after="0" w:line="240" w:lineRule="auto"/>
              <w:contextualSpacing/>
              <w:rPr>
                <w:rFonts w:cstheme="minorHAnsi"/>
                <w:color w:val="000000" w:themeColor="text1"/>
                <w:sz w:val="20"/>
                <w:szCs w:val="20"/>
              </w:rPr>
            </w:pPr>
            <w:r w:rsidRPr="00D04DA2">
              <w:rPr>
                <w:rFonts w:cstheme="minorHAnsi"/>
                <w:color w:val="000000"/>
                <w:sz w:val="20"/>
                <w:szCs w:val="20"/>
              </w:rPr>
              <w:t>Policy metrics</w:t>
            </w:r>
            <w:r w:rsidR="00B85FB3" w:rsidRPr="00D04DA2">
              <w:rPr>
                <w:rFonts w:cstheme="minorHAnsi"/>
                <w:color w:val="000000"/>
                <w:sz w:val="20"/>
                <w:szCs w:val="20"/>
              </w:rPr>
              <w:t>/Outcome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9E1C8B2" w14:textId="1CC1DAA2" w:rsidR="00E5474F" w:rsidRPr="00D04DA2" w:rsidRDefault="002D21EC"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Regional </w:t>
            </w:r>
            <w:r w:rsidR="00DC151A" w:rsidRPr="00D04DA2">
              <w:rPr>
                <w:rFonts w:cstheme="minorHAnsi"/>
                <w:color w:val="000000" w:themeColor="text1"/>
                <w:sz w:val="20"/>
                <w:szCs w:val="20"/>
              </w:rPr>
              <w:t>(European Union)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DD36BE" w14:textId="77777777"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27 economies</w:t>
            </w:r>
          </w:p>
        </w:tc>
        <w:tc>
          <w:tcPr>
            <w:tcW w:w="1418" w:type="dxa"/>
            <w:tcBorders>
              <w:top w:val="single" w:sz="4" w:space="0" w:color="auto"/>
              <w:left w:val="nil"/>
              <w:bottom w:val="single" w:sz="4" w:space="0" w:color="auto"/>
              <w:right w:val="single" w:sz="4" w:space="0" w:color="auto"/>
            </w:tcBorders>
          </w:tcPr>
          <w:p w14:paraId="56620263" w14:textId="0B8BFD15" w:rsidR="00E5474F" w:rsidRPr="00D04DA2" w:rsidRDefault="001A64B7" w:rsidP="00D04DA2">
            <w:pPr>
              <w:spacing w:after="0" w:line="240" w:lineRule="auto"/>
              <w:contextualSpacing/>
              <w:rPr>
                <w:rFonts w:cstheme="minorHAnsi"/>
                <w:color w:val="000000" w:themeColor="text1"/>
                <w:sz w:val="20"/>
                <w:szCs w:val="20"/>
              </w:rPr>
            </w:pPr>
            <w:r>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8A0E4F" w14:textId="045E621E" w:rsidR="00E5474F" w:rsidRPr="00D04DA2" w:rsidRDefault="00E5474F"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New </w:t>
            </w:r>
            <w:r w:rsidR="00B47A5A" w:rsidRPr="00D04DA2">
              <w:rPr>
                <w:rFonts w:cstheme="minorHAnsi"/>
                <w:color w:val="000000" w:themeColor="text1"/>
                <w:sz w:val="20"/>
                <w:szCs w:val="20"/>
              </w:rPr>
              <w:t>i</w:t>
            </w:r>
            <w:r w:rsidRPr="00D04DA2">
              <w:rPr>
                <w:rFonts w:cstheme="minorHAnsi"/>
                <w:color w:val="000000" w:themeColor="text1"/>
                <w:sz w:val="20"/>
                <w:szCs w:val="20"/>
              </w:rPr>
              <w:t>ndex</w:t>
            </w:r>
            <w:r w:rsidR="00F35546" w:rsidRPr="00D04DA2">
              <w:rPr>
                <w:rFonts w:cstheme="minorHAnsi"/>
                <w:color w:val="000000" w:themeColor="text1"/>
                <w:sz w:val="20"/>
                <w:szCs w:val="20"/>
              </w:rPr>
              <w:t>.</w:t>
            </w:r>
          </w:p>
          <w:p w14:paraId="7E9DAFA1" w14:textId="77777777" w:rsidR="00EF36D2" w:rsidRPr="00D04DA2" w:rsidRDefault="00EF36D2" w:rsidP="00D04DA2">
            <w:pPr>
              <w:spacing w:after="0" w:line="240" w:lineRule="auto"/>
              <w:contextualSpacing/>
              <w:rPr>
                <w:rFonts w:cstheme="minorHAnsi"/>
                <w:color w:val="000000" w:themeColor="text1"/>
                <w:sz w:val="20"/>
                <w:szCs w:val="20"/>
              </w:rPr>
            </w:pPr>
          </w:p>
          <w:p w14:paraId="5F9EDC76" w14:textId="02C5DAE6" w:rsidR="00EF36D2" w:rsidRPr="00D04DA2" w:rsidRDefault="00EF36D2" w:rsidP="00D04DA2">
            <w:pPr>
              <w:spacing w:after="0" w:line="240" w:lineRule="auto"/>
              <w:contextualSpacing/>
              <w:rPr>
                <w:rFonts w:cstheme="minorHAnsi"/>
                <w:color w:val="000000" w:themeColor="text1"/>
                <w:sz w:val="20"/>
                <w:szCs w:val="20"/>
              </w:rPr>
            </w:pPr>
            <w:r w:rsidRPr="00D04DA2">
              <w:rPr>
                <w:rFonts w:cstheme="minorHAnsi"/>
                <w:color w:val="000000" w:themeColor="text1"/>
                <w:sz w:val="20"/>
                <w:szCs w:val="20"/>
              </w:rPr>
              <w:t xml:space="preserve">The indicator is published for </w:t>
            </w:r>
            <w:r w:rsidR="6053C049" w:rsidRPr="00D04DA2">
              <w:rPr>
                <w:rFonts w:cstheme="minorHAnsi"/>
                <w:color w:val="000000" w:themeColor="text1"/>
                <w:sz w:val="20"/>
                <w:szCs w:val="20"/>
              </w:rPr>
              <w:t>2019</w:t>
            </w:r>
            <w:r w:rsidRPr="00D04DA2">
              <w:rPr>
                <w:rFonts w:cstheme="minorHAnsi"/>
                <w:color w:val="000000" w:themeColor="text1"/>
                <w:sz w:val="20"/>
                <w:szCs w:val="20"/>
              </w:rPr>
              <w:t>.</w:t>
            </w:r>
          </w:p>
          <w:p w14:paraId="4553CD22" w14:textId="77777777" w:rsidR="00E5474F" w:rsidRPr="00D04DA2" w:rsidRDefault="00E5474F" w:rsidP="00D04DA2">
            <w:pPr>
              <w:spacing w:after="0" w:line="240" w:lineRule="auto"/>
              <w:contextualSpacing/>
              <w:rPr>
                <w:rFonts w:cstheme="minorHAnsi"/>
                <w:color w:val="000000" w:themeColor="text1"/>
                <w:sz w:val="20"/>
                <w:szCs w:val="20"/>
              </w:rPr>
            </w:pPr>
          </w:p>
        </w:tc>
        <w:tc>
          <w:tcPr>
            <w:tcW w:w="1664" w:type="dxa"/>
            <w:tcBorders>
              <w:top w:val="single" w:sz="4" w:space="0" w:color="auto"/>
              <w:left w:val="nil"/>
              <w:bottom w:val="single" w:sz="4" w:space="0" w:color="auto"/>
              <w:right w:val="single" w:sz="4" w:space="0" w:color="auto"/>
            </w:tcBorders>
            <w:shd w:val="clear" w:color="auto" w:fill="auto"/>
          </w:tcPr>
          <w:p w14:paraId="1FB0705B" w14:textId="77777777" w:rsidR="008C5E4C" w:rsidRPr="00D04DA2" w:rsidRDefault="00FA1285" w:rsidP="00D04DA2">
            <w:pPr>
              <w:spacing w:after="0" w:line="240" w:lineRule="auto"/>
              <w:contextualSpacing/>
              <w:rPr>
                <w:rStyle w:val="Hyperlink"/>
                <w:rFonts w:cstheme="minorHAnsi"/>
                <w:sz w:val="20"/>
                <w:szCs w:val="20"/>
              </w:rPr>
            </w:pPr>
            <w:hyperlink r:id="rId61" w:history="1">
              <w:r w:rsidR="00E5474F" w:rsidRPr="00D04DA2">
                <w:rPr>
                  <w:rStyle w:val="Hyperlink"/>
                  <w:rFonts w:cstheme="minorHAnsi"/>
                  <w:sz w:val="20"/>
                  <w:szCs w:val="20"/>
                </w:rPr>
                <w:t>https://www.eba.europa.eu/sites/default/documents/files/document_library/About%20Us/Missions%20and%20tasks/Call%20for%20Advice/2020/Report%20on%20the%20benchmarking%20of%20national%20loan%20enforcement%20frameworks/962022/Report%20on%20the%20benchmarking%20of%20national%20loan%20enforcement%20frameworks.pdf</w:t>
              </w:r>
            </w:hyperlink>
          </w:p>
          <w:p w14:paraId="133DE9F5" w14:textId="77777777" w:rsidR="008C5E4C" w:rsidRPr="00D04DA2" w:rsidRDefault="008C5E4C" w:rsidP="00D04DA2">
            <w:pPr>
              <w:spacing w:after="0" w:line="240" w:lineRule="auto"/>
              <w:contextualSpacing/>
              <w:rPr>
                <w:rStyle w:val="Hyperlink"/>
                <w:rFonts w:cstheme="minorHAnsi"/>
                <w:sz w:val="20"/>
                <w:szCs w:val="20"/>
              </w:rPr>
            </w:pPr>
          </w:p>
          <w:p w14:paraId="3AF1626D" w14:textId="3DC0DCE6" w:rsidR="00E5474F" w:rsidRPr="00D04DA2" w:rsidRDefault="008C5E4C" w:rsidP="00D04DA2">
            <w:pPr>
              <w:spacing w:after="0" w:line="240" w:lineRule="auto"/>
              <w:contextualSpacing/>
              <w:rPr>
                <w:rFonts w:eastAsia="Calibri" w:cstheme="minorHAnsi"/>
                <w:sz w:val="20"/>
                <w:szCs w:val="20"/>
              </w:rPr>
            </w:pPr>
            <w:r w:rsidRPr="00D04DA2">
              <w:rPr>
                <w:rFonts w:eastAsia="Times New Roman" w:cstheme="minorHAnsi"/>
                <w:b/>
                <w:color w:val="FF0000"/>
                <w:sz w:val="20"/>
                <w:szCs w:val="20"/>
              </w:rPr>
              <w:t xml:space="preserve">The data </w:t>
            </w:r>
            <w:r w:rsidR="00FC7F1F" w:rsidRPr="00D04DA2">
              <w:rPr>
                <w:rFonts w:eastAsia="Times New Roman" w:cstheme="minorHAnsi"/>
                <w:b/>
                <w:color w:val="FF0000"/>
                <w:sz w:val="20"/>
                <w:szCs w:val="20"/>
              </w:rPr>
              <w:t>is</w:t>
            </w:r>
            <w:r w:rsidRPr="00D04DA2">
              <w:rPr>
                <w:rFonts w:eastAsia="Times New Roman" w:cstheme="minorHAnsi"/>
                <w:b/>
                <w:color w:val="FF0000"/>
                <w:sz w:val="20"/>
                <w:szCs w:val="20"/>
              </w:rPr>
              <w:t xml:space="preserve"> </w:t>
            </w:r>
            <w:r w:rsidR="00E54907" w:rsidRPr="00D04DA2">
              <w:rPr>
                <w:rFonts w:eastAsia="Times New Roman" w:cstheme="minorHAnsi"/>
                <w:b/>
                <w:color w:val="FF0000"/>
                <w:sz w:val="20"/>
                <w:szCs w:val="20"/>
              </w:rPr>
              <w:t>presented</w:t>
            </w:r>
            <w:r w:rsidRPr="00D04DA2">
              <w:rPr>
                <w:rFonts w:eastAsia="Times New Roman" w:cstheme="minorHAnsi"/>
                <w:b/>
                <w:color w:val="FF0000"/>
                <w:sz w:val="20"/>
                <w:szCs w:val="20"/>
              </w:rPr>
              <w:t xml:space="preserve"> in </w:t>
            </w:r>
            <w:r w:rsidR="00E54907" w:rsidRPr="00D04DA2">
              <w:rPr>
                <w:rFonts w:eastAsia="Times New Roman" w:cstheme="minorHAnsi"/>
                <w:b/>
                <w:color w:val="FF0000"/>
                <w:sz w:val="20"/>
                <w:szCs w:val="20"/>
              </w:rPr>
              <w:t>chart</w:t>
            </w:r>
            <w:r w:rsidRPr="00D04DA2">
              <w:rPr>
                <w:rFonts w:eastAsia="Times New Roman" w:cstheme="minorHAnsi"/>
                <w:b/>
                <w:color w:val="FF0000"/>
                <w:sz w:val="20"/>
                <w:szCs w:val="20"/>
              </w:rPr>
              <w:t xml:space="preserve"> only. It is not currently available in an editable format.</w:t>
            </w:r>
            <w:r w:rsidR="00E5474F" w:rsidRPr="00D04DA2">
              <w:rPr>
                <w:rFonts w:cstheme="minorHAnsi"/>
                <w:color w:val="0563C1"/>
                <w:sz w:val="20"/>
                <w:szCs w:val="20"/>
                <w:u w:val="single"/>
              </w:rPr>
              <w:t xml:space="preserve">  </w:t>
            </w:r>
          </w:p>
        </w:tc>
      </w:tr>
    </w:tbl>
    <w:p w14:paraId="3EA254B9" w14:textId="5F6AC9BF" w:rsidR="00F55B2F" w:rsidRDefault="00F55B2F" w:rsidP="00C90130">
      <w:pPr>
        <w:spacing w:after="0" w:line="240" w:lineRule="auto"/>
        <w:contextualSpacing/>
        <w:jc w:val="both"/>
        <w:rPr>
          <w:rFonts w:cstheme="minorHAnsi"/>
        </w:rPr>
      </w:pPr>
    </w:p>
    <w:p w14:paraId="1ECA7F34" w14:textId="2567DAFD" w:rsidR="00F05AE5" w:rsidRPr="00F05AE5" w:rsidRDefault="00F05AE5" w:rsidP="00F05AE5">
      <w:pPr>
        <w:spacing w:after="0" w:line="240" w:lineRule="auto"/>
        <w:jc w:val="both"/>
        <w:rPr>
          <w:rFonts w:cstheme="minorHAnsi"/>
        </w:rPr>
      </w:pPr>
      <w:r>
        <w:rPr>
          <w:rFonts w:cstheme="minorHAnsi"/>
        </w:rPr>
        <w:t>*</w:t>
      </w:r>
      <w:r w:rsidRPr="00F05AE5">
        <w:rPr>
          <w:rFonts w:cstheme="minorHAnsi"/>
        </w:rPr>
        <w:t>Data on th</w:t>
      </w:r>
      <w:r>
        <w:rPr>
          <w:rFonts w:cstheme="minorHAnsi"/>
        </w:rPr>
        <w:t>ese</w:t>
      </w:r>
      <w:r w:rsidRPr="00F05AE5">
        <w:rPr>
          <w:rFonts w:cstheme="minorHAnsi"/>
        </w:rPr>
        <w:t xml:space="preserve"> indicators is not provided in </w:t>
      </w:r>
      <w:r w:rsidR="00402C02">
        <w:rPr>
          <w:rFonts w:cstheme="minorHAnsi"/>
        </w:rPr>
        <w:t>the Excel compilation, but can be accessed through the link provided in this table.</w:t>
      </w:r>
    </w:p>
    <w:sectPr w:rsidR="00F05AE5" w:rsidRPr="00F05AE5" w:rsidSect="00A738DD">
      <w:pgSz w:w="2592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2E33A" w14:textId="77777777" w:rsidR="00FE10A4" w:rsidRDefault="00FE10A4" w:rsidP="00F950BA">
      <w:pPr>
        <w:spacing w:after="0" w:line="240" w:lineRule="auto"/>
      </w:pPr>
      <w:r>
        <w:separator/>
      </w:r>
    </w:p>
  </w:endnote>
  <w:endnote w:type="continuationSeparator" w:id="0">
    <w:p w14:paraId="24D7969E" w14:textId="77777777" w:rsidR="00FE10A4" w:rsidRDefault="00FE10A4" w:rsidP="00F950BA">
      <w:pPr>
        <w:spacing w:after="0" w:line="240" w:lineRule="auto"/>
      </w:pPr>
      <w:r>
        <w:continuationSeparator/>
      </w:r>
    </w:p>
  </w:endnote>
  <w:endnote w:type="continuationNotice" w:id="1">
    <w:p w14:paraId="63DDCD0A" w14:textId="77777777" w:rsidR="00FE10A4" w:rsidRDefault="00FE1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DC76" w14:textId="77777777" w:rsidR="00FE10A4" w:rsidRDefault="00FE1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525046"/>
      <w:docPartObj>
        <w:docPartGallery w:val="Page Numbers (Bottom of Page)"/>
        <w:docPartUnique/>
      </w:docPartObj>
    </w:sdtPr>
    <w:sdtEndPr>
      <w:rPr>
        <w:noProof/>
        <w:sz w:val="20"/>
        <w:szCs w:val="20"/>
      </w:rPr>
    </w:sdtEndPr>
    <w:sdtContent>
      <w:p w14:paraId="6D320E66" w14:textId="4904623D" w:rsidR="00FE10A4" w:rsidRDefault="00FE10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3C71D1" w14:textId="78E137ED" w:rsidR="00FE10A4" w:rsidRDefault="00FE10A4" w:rsidP="002D1FD4">
    <w:pPr>
      <w:pStyle w:val="Footer"/>
      <w:rPr>
        <w:rFonts w:ascii="Calibri" w:eastAsia="Calibri" w:hAnsi="Calibri"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CC5A" w14:textId="77777777" w:rsidR="00FE10A4" w:rsidRDefault="00FE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1B1E0" w14:textId="77777777" w:rsidR="00FE10A4" w:rsidRDefault="00FE10A4" w:rsidP="00F950BA">
      <w:pPr>
        <w:spacing w:after="0" w:line="240" w:lineRule="auto"/>
      </w:pPr>
      <w:r>
        <w:separator/>
      </w:r>
    </w:p>
  </w:footnote>
  <w:footnote w:type="continuationSeparator" w:id="0">
    <w:p w14:paraId="5A3BC582" w14:textId="77777777" w:rsidR="00FE10A4" w:rsidRDefault="00FE10A4" w:rsidP="00F950BA">
      <w:pPr>
        <w:spacing w:after="0" w:line="240" w:lineRule="auto"/>
      </w:pPr>
      <w:r>
        <w:continuationSeparator/>
      </w:r>
    </w:p>
  </w:footnote>
  <w:footnote w:type="continuationNotice" w:id="1">
    <w:p w14:paraId="3A688235" w14:textId="77777777" w:rsidR="00FE10A4" w:rsidRDefault="00FE1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DD43" w14:textId="77777777" w:rsidR="00FE10A4" w:rsidRDefault="00FE1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7200"/>
      <w:gridCol w:w="7200"/>
      <w:gridCol w:w="7200"/>
    </w:tblGrid>
    <w:tr w:rsidR="00FE10A4" w14:paraId="6FF51A2C" w14:textId="77777777" w:rsidTr="007D1315">
      <w:tc>
        <w:tcPr>
          <w:tcW w:w="7200" w:type="dxa"/>
        </w:tcPr>
        <w:p w14:paraId="6642D9F3" w14:textId="25176B59" w:rsidR="00FE10A4" w:rsidRDefault="00FE10A4" w:rsidP="00647E92">
          <w:pPr>
            <w:pStyle w:val="Header"/>
            <w:ind w:left="-115"/>
            <w:rPr>
              <w:rFonts w:ascii="Calibri" w:eastAsia="Calibri" w:hAnsi="Calibri" w:cs="Arial"/>
            </w:rPr>
          </w:pPr>
        </w:p>
      </w:tc>
      <w:tc>
        <w:tcPr>
          <w:tcW w:w="7200" w:type="dxa"/>
        </w:tcPr>
        <w:p w14:paraId="3259B63B" w14:textId="63EEB4B7" w:rsidR="00FE10A4" w:rsidRDefault="00FE10A4" w:rsidP="006A59F5">
          <w:pPr>
            <w:pStyle w:val="Header"/>
            <w:jc w:val="center"/>
            <w:rPr>
              <w:rFonts w:ascii="Calibri" w:eastAsia="Calibri" w:hAnsi="Calibri" w:cs="Arial"/>
            </w:rPr>
          </w:pPr>
        </w:p>
      </w:tc>
      <w:tc>
        <w:tcPr>
          <w:tcW w:w="7200" w:type="dxa"/>
        </w:tcPr>
        <w:p w14:paraId="2BC94D0C" w14:textId="5F3F0C73" w:rsidR="00FE10A4" w:rsidRDefault="00FE10A4" w:rsidP="006A59F5">
          <w:pPr>
            <w:pStyle w:val="Header"/>
            <w:ind w:right="-115"/>
            <w:jc w:val="right"/>
            <w:rPr>
              <w:rFonts w:ascii="Calibri" w:eastAsia="Calibri" w:hAnsi="Calibri" w:cs="Arial"/>
            </w:rPr>
          </w:pPr>
        </w:p>
      </w:tc>
    </w:tr>
  </w:tbl>
  <w:p w14:paraId="5A6A23E4" w14:textId="5B0C76EB" w:rsidR="00FE10A4" w:rsidRDefault="00FE10A4" w:rsidP="002D1FD4">
    <w:pPr>
      <w:pStyle w:val="Header"/>
      <w:rPr>
        <w:rFonts w:ascii="Calibri" w:eastAsia="Calibri" w:hAnsi="Calibri"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954A6" w14:textId="77777777" w:rsidR="00FE10A4" w:rsidRDefault="00FE1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446"/>
    <w:multiLevelType w:val="hybridMultilevel"/>
    <w:tmpl w:val="F304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91F"/>
    <w:multiLevelType w:val="hybridMultilevel"/>
    <w:tmpl w:val="90DAA036"/>
    <w:lvl w:ilvl="0" w:tplc="29FC17C0">
      <w:start w:val="1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6E3B"/>
    <w:multiLevelType w:val="hybridMultilevel"/>
    <w:tmpl w:val="FFFFFFFF"/>
    <w:lvl w:ilvl="0" w:tplc="53240512">
      <w:start w:val="1"/>
      <w:numFmt w:val="bullet"/>
      <w:lvlText w:val="-"/>
      <w:lvlJc w:val="left"/>
      <w:pPr>
        <w:ind w:left="720" w:hanging="360"/>
      </w:pPr>
      <w:rPr>
        <w:rFonts w:ascii="Calibri" w:hAnsi="Calibri" w:hint="default"/>
      </w:rPr>
    </w:lvl>
    <w:lvl w:ilvl="1" w:tplc="C8F6F88C">
      <w:start w:val="1"/>
      <w:numFmt w:val="bullet"/>
      <w:lvlText w:val="o"/>
      <w:lvlJc w:val="left"/>
      <w:pPr>
        <w:ind w:left="1440" w:hanging="360"/>
      </w:pPr>
      <w:rPr>
        <w:rFonts w:ascii="Courier New" w:hAnsi="Courier New" w:hint="default"/>
      </w:rPr>
    </w:lvl>
    <w:lvl w:ilvl="2" w:tplc="CA6057CE">
      <w:start w:val="1"/>
      <w:numFmt w:val="bullet"/>
      <w:lvlText w:val=""/>
      <w:lvlJc w:val="left"/>
      <w:pPr>
        <w:ind w:left="2160" w:hanging="360"/>
      </w:pPr>
      <w:rPr>
        <w:rFonts w:ascii="Wingdings" w:hAnsi="Wingdings" w:hint="default"/>
      </w:rPr>
    </w:lvl>
    <w:lvl w:ilvl="3" w:tplc="F5EE68BA">
      <w:start w:val="1"/>
      <w:numFmt w:val="bullet"/>
      <w:lvlText w:val=""/>
      <w:lvlJc w:val="left"/>
      <w:pPr>
        <w:ind w:left="2880" w:hanging="360"/>
      </w:pPr>
      <w:rPr>
        <w:rFonts w:ascii="Symbol" w:hAnsi="Symbol" w:hint="default"/>
      </w:rPr>
    </w:lvl>
    <w:lvl w:ilvl="4" w:tplc="2ACACB8C">
      <w:start w:val="1"/>
      <w:numFmt w:val="bullet"/>
      <w:lvlText w:val="o"/>
      <w:lvlJc w:val="left"/>
      <w:pPr>
        <w:ind w:left="3600" w:hanging="360"/>
      </w:pPr>
      <w:rPr>
        <w:rFonts w:ascii="Courier New" w:hAnsi="Courier New" w:hint="default"/>
      </w:rPr>
    </w:lvl>
    <w:lvl w:ilvl="5" w:tplc="4F9A26D6">
      <w:start w:val="1"/>
      <w:numFmt w:val="bullet"/>
      <w:lvlText w:val=""/>
      <w:lvlJc w:val="left"/>
      <w:pPr>
        <w:ind w:left="4320" w:hanging="360"/>
      </w:pPr>
      <w:rPr>
        <w:rFonts w:ascii="Wingdings" w:hAnsi="Wingdings" w:hint="default"/>
      </w:rPr>
    </w:lvl>
    <w:lvl w:ilvl="6" w:tplc="657A839C">
      <w:start w:val="1"/>
      <w:numFmt w:val="bullet"/>
      <w:lvlText w:val=""/>
      <w:lvlJc w:val="left"/>
      <w:pPr>
        <w:ind w:left="5040" w:hanging="360"/>
      </w:pPr>
      <w:rPr>
        <w:rFonts w:ascii="Symbol" w:hAnsi="Symbol" w:hint="default"/>
      </w:rPr>
    </w:lvl>
    <w:lvl w:ilvl="7" w:tplc="9912DD6C">
      <w:start w:val="1"/>
      <w:numFmt w:val="bullet"/>
      <w:lvlText w:val="o"/>
      <w:lvlJc w:val="left"/>
      <w:pPr>
        <w:ind w:left="5760" w:hanging="360"/>
      </w:pPr>
      <w:rPr>
        <w:rFonts w:ascii="Courier New" w:hAnsi="Courier New" w:hint="default"/>
      </w:rPr>
    </w:lvl>
    <w:lvl w:ilvl="8" w:tplc="05AE1FB6">
      <w:start w:val="1"/>
      <w:numFmt w:val="bullet"/>
      <w:lvlText w:val=""/>
      <w:lvlJc w:val="left"/>
      <w:pPr>
        <w:ind w:left="6480" w:hanging="360"/>
      </w:pPr>
      <w:rPr>
        <w:rFonts w:ascii="Wingdings" w:hAnsi="Wingdings" w:hint="default"/>
      </w:rPr>
    </w:lvl>
  </w:abstractNum>
  <w:abstractNum w:abstractNumId="3" w15:restartNumberingAfterBreak="0">
    <w:nsid w:val="0AD55134"/>
    <w:multiLevelType w:val="multilevel"/>
    <w:tmpl w:val="0E2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F78D9"/>
    <w:multiLevelType w:val="hybridMultilevel"/>
    <w:tmpl w:val="5BAA02FE"/>
    <w:lvl w:ilvl="0" w:tplc="AB4E63D4">
      <w:start w:val="13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D45B3C"/>
    <w:multiLevelType w:val="hybridMultilevel"/>
    <w:tmpl w:val="FFFFFFFF"/>
    <w:lvl w:ilvl="0" w:tplc="8952AC72">
      <w:start w:val="1"/>
      <w:numFmt w:val="bullet"/>
      <w:lvlText w:val="-"/>
      <w:lvlJc w:val="left"/>
      <w:pPr>
        <w:ind w:left="720" w:hanging="360"/>
      </w:pPr>
      <w:rPr>
        <w:rFonts w:ascii="Calibri" w:hAnsi="Calibri" w:hint="default"/>
      </w:rPr>
    </w:lvl>
    <w:lvl w:ilvl="1" w:tplc="FE80354C">
      <w:start w:val="1"/>
      <w:numFmt w:val="bullet"/>
      <w:lvlText w:val="o"/>
      <w:lvlJc w:val="left"/>
      <w:pPr>
        <w:ind w:left="1440" w:hanging="360"/>
      </w:pPr>
      <w:rPr>
        <w:rFonts w:ascii="Courier New" w:hAnsi="Courier New" w:hint="default"/>
      </w:rPr>
    </w:lvl>
    <w:lvl w:ilvl="2" w:tplc="2C3E9DEE">
      <w:start w:val="1"/>
      <w:numFmt w:val="bullet"/>
      <w:lvlText w:val=""/>
      <w:lvlJc w:val="left"/>
      <w:pPr>
        <w:ind w:left="2160" w:hanging="360"/>
      </w:pPr>
      <w:rPr>
        <w:rFonts w:ascii="Wingdings" w:hAnsi="Wingdings" w:hint="default"/>
      </w:rPr>
    </w:lvl>
    <w:lvl w:ilvl="3" w:tplc="3FFAE64A">
      <w:start w:val="1"/>
      <w:numFmt w:val="bullet"/>
      <w:lvlText w:val=""/>
      <w:lvlJc w:val="left"/>
      <w:pPr>
        <w:ind w:left="2880" w:hanging="360"/>
      </w:pPr>
      <w:rPr>
        <w:rFonts w:ascii="Symbol" w:hAnsi="Symbol" w:hint="default"/>
      </w:rPr>
    </w:lvl>
    <w:lvl w:ilvl="4" w:tplc="22C64ECC">
      <w:start w:val="1"/>
      <w:numFmt w:val="bullet"/>
      <w:lvlText w:val="o"/>
      <w:lvlJc w:val="left"/>
      <w:pPr>
        <w:ind w:left="3600" w:hanging="360"/>
      </w:pPr>
      <w:rPr>
        <w:rFonts w:ascii="Courier New" w:hAnsi="Courier New" w:hint="default"/>
      </w:rPr>
    </w:lvl>
    <w:lvl w:ilvl="5" w:tplc="7FA20606">
      <w:start w:val="1"/>
      <w:numFmt w:val="bullet"/>
      <w:lvlText w:val=""/>
      <w:lvlJc w:val="left"/>
      <w:pPr>
        <w:ind w:left="4320" w:hanging="360"/>
      </w:pPr>
      <w:rPr>
        <w:rFonts w:ascii="Wingdings" w:hAnsi="Wingdings" w:hint="default"/>
      </w:rPr>
    </w:lvl>
    <w:lvl w:ilvl="6" w:tplc="72F2360A">
      <w:start w:val="1"/>
      <w:numFmt w:val="bullet"/>
      <w:lvlText w:val=""/>
      <w:lvlJc w:val="left"/>
      <w:pPr>
        <w:ind w:left="5040" w:hanging="360"/>
      </w:pPr>
      <w:rPr>
        <w:rFonts w:ascii="Symbol" w:hAnsi="Symbol" w:hint="default"/>
      </w:rPr>
    </w:lvl>
    <w:lvl w:ilvl="7" w:tplc="A720EE14">
      <w:start w:val="1"/>
      <w:numFmt w:val="bullet"/>
      <w:lvlText w:val="o"/>
      <w:lvlJc w:val="left"/>
      <w:pPr>
        <w:ind w:left="5760" w:hanging="360"/>
      </w:pPr>
      <w:rPr>
        <w:rFonts w:ascii="Courier New" w:hAnsi="Courier New" w:hint="default"/>
      </w:rPr>
    </w:lvl>
    <w:lvl w:ilvl="8" w:tplc="145EB0DA">
      <w:start w:val="1"/>
      <w:numFmt w:val="bullet"/>
      <w:lvlText w:val=""/>
      <w:lvlJc w:val="left"/>
      <w:pPr>
        <w:ind w:left="6480" w:hanging="360"/>
      </w:pPr>
      <w:rPr>
        <w:rFonts w:ascii="Wingdings" w:hAnsi="Wingdings" w:hint="default"/>
      </w:rPr>
    </w:lvl>
  </w:abstractNum>
  <w:abstractNum w:abstractNumId="6" w15:restartNumberingAfterBreak="0">
    <w:nsid w:val="0E310F7D"/>
    <w:multiLevelType w:val="hybridMultilevel"/>
    <w:tmpl w:val="E0E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F278E"/>
    <w:multiLevelType w:val="hybridMultilevel"/>
    <w:tmpl w:val="7782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0603E"/>
    <w:multiLevelType w:val="multilevel"/>
    <w:tmpl w:val="D77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11AE1"/>
    <w:multiLevelType w:val="hybridMultilevel"/>
    <w:tmpl w:val="A830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C3AA7"/>
    <w:multiLevelType w:val="hybridMultilevel"/>
    <w:tmpl w:val="C91E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5197"/>
    <w:multiLevelType w:val="hybridMultilevel"/>
    <w:tmpl w:val="B8DA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044FD"/>
    <w:multiLevelType w:val="hybridMultilevel"/>
    <w:tmpl w:val="C1D2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D11B9"/>
    <w:multiLevelType w:val="hybridMultilevel"/>
    <w:tmpl w:val="FFFFFFFF"/>
    <w:lvl w:ilvl="0" w:tplc="4322CF5A">
      <w:start w:val="1"/>
      <w:numFmt w:val="bullet"/>
      <w:lvlText w:val="-"/>
      <w:lvlJc w:val="left"/>
      <w:pPr>
        <w:ind w:left="720" w:hanging="360"/>
      </w:pPr>
      <w:rPr>
        <w:rFonts w:ascii="Calibri" w:hAnsi="Calibri" w:hint="default"/>
      </w:rPr>
    </w:lvl>
    <w:lvl w:ilvl="1" w:tplc="4C70FDD2">
      <w:start w:val="1"/>
      <w:numFmt w:val="bullet"/>
      <w:lvlText w:val="o"/>
      <w:lvlJc w:val="left"/>
      <w:pPr>
        <w:ind w:left="1440" w:hanging="360"/>
      </w:pPr>
      <w:rPr>
        <w:rFonts w:ascii="Courier New" w:hAnsi="Courier New" w:hint="default"/>
      </w:rPr>
    </w:lvl>
    <w:lvl w:ilvl="2" w:tplc="01882EB2">
      <w:start w:val="1"/>
      <w:numFmt w:val="bullet"/>
      <w:lvlText w:val=""/>
      <w:lvlJc w:val="left"/>
      <w:pPr>
        <w:ind w:left="2160" w:hanging="360"/>
      </w:pPr>
      <w:rPr>
        <w:rFonts w:ascii="Wingdings" w:hAnsi="Wingdings" w:hint="default"/>
      </w:rPr>
    </w:lvl>
    <w:lvl w:ilvl="3" w:tplc="D6A28846">
      <w:start w:val="1"/>
      <w:numFmt w:val="bullet"/>
      <w:lvlText w:val=""/>
      <w:lvlJc w:val="left"/>
      <w:pPr>
        <w:ind w:left="2880" w:hanging="360"/>
      </w:pPr>
      <w:rPr>
        <w:rFonts w:ascii="Symbol" w:hAnsi="Symbol" w:hint="default"/>
      </w:rPr>
    </w:lvl>
    <w:lvl w:ilvl="4" w:tplc="85E406E4">
      <w:start w:val="1"/>
      <w:numFmt w:val="bullet"/>
      <w:lvlText w:val="o"/>
      <w:lvlJc w:val="left"/>
      <w:pPr>
        <w:ind w:left="3600" w:hanging="360"/>
      </w:pPr>
      <w:rPr>
        <w:rFonts w:ascii="Courier New" w:hAnsi="Courier New" w:hint="default"/>
      </w:rPr>
    </w:lvl>
    <w:lvl w:ilvl="5" w:tplc="C890E4E2">
      <w:start w:val="1"/>
      <w:numFmt w:val="bullet"/>
      <w:lvlText w:val=""/>
      <w:lvlJc w:val="left"/>
      <w:pPr>
        <w:ind w:left="4320" w:hanging="360"/>
      </w:pPr>
      <w:rPr>
        <w:rFonts w:ascii="Wingdings" w:hAnsi="Wingdings" w:hint="default"/>
      </w:rPr>
    </w:lvl>
    <w:lvl w:ilvl="6" w:tplc="77AEE26C">
      <w:start w:val="1"/>
      <w:numFmt w:val="bullet"/>
      <w:lvlText w:val=""/>
      <w:lvlJc w:val="left"/>
      <w:pPr>
        <w:ind w:left="5040" w:hanging="360"/>
      </w:pPr>
      <w:rPr>
        <w:rFonts w:ascii="Symbol" w:hAnsi="Symbol" w:hint="default"/>
      </w:rPr>
    </w:lvl>
    <w:lvl w:ilvl="7" w:tplc="0CA6B32E">
      <w:start w:val="1"/>
      <w:numFmt w:val="bullet"/>
      <w:lvlText w:val="o"/>
      <w:lvlJc w:val="left"/>
      <w:pPr>
        <w:ind w:left="5760" w:hanging="360"/>
      </w:pPr>
      <w:rPr>
        <w:rFonts w:ascii="Courier New" w:hAnsi="Courier New" w:hint="default"/>
      </w:rPr>
    </w:lvl>
    <w:lvl w:ilvl="8" w:tplc="599E68DA">
      <w:start w:val="1"/>
      <w:numFmt w:val="bullet"/>
      <w:lvlText w:val=""/>
      <w:lvlJc w:val="left"/>
      <w:pPr>
        <w:ind w:left="6480" w:hanging="360"/>
      </w:pPr>
      <w:rPr>
        <w:rFonts w:ascii="Wingdings" w:hAnsi="Wingdings" w:hint="default"/>
      </w:rPr>
    </w:lvl>
  </w:abstractNum>
  <w:abstractNum w:abstractNumId="14" w15:restartNumberingAfterBreak="0">
    <w:nsid w:val="37C23D27"/>
    <w:multiLevelType w:val="hybridMultilevel"/>
    <w:tmpl w:val="FFFFFFFF"/>
    <w:lvl w:ilvl="0" w:tplc="60726B62">
      <w:start w:val="1"/>
      <w:numFmt w:val="bullet"/>
      <w:lvlText w:val="-"/>
      <w:lvlJc w:val="left"/>
      <w:pPr>
        <w:ind w:left="720" w:hanging="360"/>
      </w:pPr>
      <w:rPr>
        <w:rFonts w:ascii="Calibri" w:hAnsi="Calibri" w:hint="default"/>
      </w:rPr>
    </w:lvl>
    <w:lvl w:ilvl="1" w:tplc="063A2884">
      <w:start w:val="1"/>
      <w:numFmt w:val="bullet"/>
      <w:lvlText w:val="o"/>
      <w:lvlJc w:val="left"/>
      <w:pPr>
        <w:ind w:left="1440" w:hanging="360"/>
      </w:pPr>
      <w:rPr>
        <w:rFonts w:ascii="Courier New" w:hAnsi="Courier New" w:hint="default"/>
      </w:rPr>
    </w:lvl>
    <w:lvl w:ilvl="2" w:tplc="ACCA4832">
      <w:start w:val="1"/>
      <w:numFmt w:val="bullet"/>
      <w:lvlText w:val=""/>
      <w:lvlJc w:val="left"/>
      <w:pPr>
        <w:ind w:left="2160" w:hanging="360"/>
      </w:pPr>
      <w:rPr>
        <w:rFonts w:ascii="Wingdings" w:hAnsi="Wingdings" w:hint="default"/>
      </w:rPr>
    </w:lvl>
    <w:lvl w:ilvl="3" w:tplc="FB1E769C">
      <w:start w:val="1"/>
      <w:numFmt w:val="bullet"/>
      <w:lvlText w:val=""/>
      <w:lvlJc w:val="left"/>
      <w:pPr>
        <w:ind w:left="2880" w:hanging="360"/>
      </w:pPr>
      <w:rPr>
        <w:rFonts w:ascii="Symbol" w:hAnsi="Symbol" w:hint="default"/>
      </w:rPr>
    </w:lvl>
    <w:lvl w:ilvl="4" w:tplc="D374AEDE">
      <w:start w:val="1"/>
      <w:numFmt w:val="bullet"/>
      <w:lvlText w:val="o"/>
      <w:lvlJc w:val="left"/>
      <w:pPr>
        <w:ind w:left="3600" w:hanging="360"/>
      </w:pPr>
      <w:rPr>
        <w:rFonts w:ascii="Courier New" w:hAnsi="Courier New" w:hint="default"/>
      </w:rPr>
    </w:lvl>
    <w:lvl w:ilvl="5" w:tplc="11C29E94">
      <w:start w:val="1"/>
      <w:numFmt w:val="bullet"/>
      <w:lvlText w:val=""/>
      <w:lvlJc w:val="left"/>
      <w:pPr>
        <w:ind w:left="4320" w:hanging="360"/>
      </w:pPr>
      <w:rPr>
        <w:rFonts w:ascii="Wingdings" w:hAnsi="Wingdings" w:hint="default"/>
      </w:rPr>
    </w:lvl>
    <w:lvl w:ilvl="6" w:tplc="2A460C38">
      <w:start w:val="1"/>
      <w:numFmt w:val="bullet"/>
      <w:lvlText w:val=""/>
      <w:lvlJc w:val="left"/>
      <w:pPr>
        <w:ind w:left="5040" w:hanging="360"/>
      </w:pPr>
      <w:rPr>
        <w:rFonts w:ascii="Symbol" w:hAnsi="Symbol" w:hint="default"/>
      </w:rPr>
    </w:lvl>
    <w:lvl w:ilvl="7" w:tplc="0F0460D6">
      <w:start w:val="1"/>
      <w:numFmt w:val="bullet"/>
      <w:lvlText w:val="o"/>
      <w:lvlJc w:val="left"/>
      <w:pPr>
        <w:ind w:left="5760" w:hanging="360"/>
      </w:pPr>
      <w:rPr>
        <w:rFonts w:ascii="Courier New" w:hAnsi="Courier New" w:hint="default"/>
      </w:rPr>
    </w:lvl>
    <w:lvl w:ilvl="8" w:tplc="488EBC40">
      <w:start w:val="1"/>
      <w:numFmt w:val="bullet"/>
      <w:lvlText w:val=""/>
      <w:lvlJc w:val="left"/>
      <w:pPr>
        <w:ind w:left="6480" w:hanging="360"/>
      </w:pPr>
      <w:rPr>
        <w:rFonts w:ascii="Wingdings" w:hAnsi="Wingdings" w:hint="default"/>
      </w:rPr>
    </w:lvl>
  </w:abstractNum>
  <w:abstractNum w:abstractNumId="15" w15:restartNumberingAfterBreak="0">
    <w:nsid w:val="38554810"/>
    <w:multiLevelType w:val="hybridMultilevel"/>
    <w:tmpl w:val="FFFFFFFF"/>
    <w:lvl w:ilvl="0" w:tplc="A044DECA">
      <w:start w:val="1"/>
      <w:numFmt w:val="bullet"/>
      <w:lvlText w:val="-"/>
      <w:lvlJc w:val="left"/>
      <w:pPr>
        <w:ind w:left="720" w:hanging="360"/>
      </w:pPr>
      <w:rPr>
        <w:rFonts w:ascii="Calibri" w:hAnsi="Calibri" w:hint="default"/>
      </w:rPr>
    </w:lvl>
    <w:lvl w:ilvl="1" w:tplc="875443FA">
      <w:start w:val="1"/>
      <w:numFmt w:val="bullet"/>
      <w:lvlText w:val="o"/>
      <w:lvlJc w:val="left"/>
      <w:pPr>
        <w:ind w:left="1440" w:hanging="360"/>
      </w:pPr>
      <w:rPr>
        <w:rFonts w:ascii="Courier New" w:hAnsi="Courier New" w:hint="default"/>
      </w:rPr>
    </w:lvl>
    <w:lvl w:ilvl="2" w:tplc="4EBE21DE">
      <w:start w:val="1"/>
      <w:numFmt w:val="bullet"/>
      <w:lvlText w:val=""/>
      <w:lvlJc w:val="left"/>
      <w:pPr>
        <w:ind w:left="2160" w:hanging="360"/>
      </w:pPr>
      <w:rPr>
        <w:rFonts w:ascii="Wingdings" w:hAnsi="Wingdings" w:hint="default"/>
      </w:rPr>
    </w:lvl>
    <w:lvl w:ilvl="3" w:tplc="B010E4D8">
      <w:start w:val="1"/>
      <w:numFmt w:val="bullet"/>
      <w:lvlText w:val=""/>
      <w:lvlJc w:val="left"/>
      <w:pPr>
        <w:ind w:left="2880" w:hanging="360"/>
      </w:pPr>
      <w:rPr>
        <w:rFonts w:ascii="Symbol" w:hAnsi="Symbol" w:hint="default"/>
      </w:rPr>
    </w:lvl>
    <w:lvl w:ilvl="4" w:tplc="B6488696">
      <w:start w:val="1"/>
      <w:numFmt w:val="bullet"/>
      <w:lvlText w:val="o"/>
      <w:lvlJc w:val="left"/>
      <w:pPr>
        <w:ind w:left="3600" w:hanging="360"/>
      </w:pPr>
      <w:rPr>
        <w:rFonts w:ascii="Courier New" w:hAnsi="Courier New" w:hint="default"/>
      </w:rPr>
    </w:lvl>
    <w:lvl w:ilvl="5" w:tplc="A4DE6268">
      <w:start w:val="1"/>
      <w:numFmt w:val="bullet"/>
      <w:lvlText w:val=""/>
      <w:lvlJc w:val="left"/>
      <w:pPr>
        <w:ind w:left="4320" w:hanging="360"/>
      </w:pPr>
      <w:rPr>
        <w:rFonts w:ascii="Wingdings" w:hAnsi="Wingdings" w:hint="default"/>
      </w:rPr>
    </w:lvl>
    <w:lvl w:ilvl="6" w:tplc="B4BE903E">
      <w:start w:val="1"/>
      <w:numFmt w:val="bullet"/>
      <w:lvlText w:val=""/>
      <w:lvlJc w:val="left"/>
      <w:pPr>
        <w:ind w:left="5040" w:hanging="360"/>
      </w:pPr>
      <w:rPr>
        <w:rFonts w:ascii="Symbol" w:hAnsi="Symbol" w:hint="default"/>
      </w:rPr>
    </w:lvl>
    <w:lvl w:ilvl="7" w:tplc="1B8AE23A">
      <w:start w:val="1"/>
      <w:numFmt w:val="bullet"/>
      <w:lvlText w:val="o"/>
      <w:lvlJc w:val="left"/>
      <w:pPr>
        <w:ind w:left="5760" w:hanging="360"/>
      </w:pPr>
      <w:rPr>
        <w:rFonts w:ascii="Courier New" w:hAnsi="Courier New" w:hint="default"/>
      </w:rPr>
    </w:lvl>
    <w:lvl w:ilvl="8" w:tplc="5672DC92">
      <w:start w:val="1"/>
      <w:numFmt w:val="bullet"/>
      <w:lvlText w:val=""/>
      <w:lvlJc w:val="left"/>
      <w:pPr>
        <w:ind w:left="6480" w:hanging="360"/>
      </w:pPr>
      <w:rPr>
        <w:rFonts w:ascii="Wingdings" w:hAnsi="Wingdings" w:hint="default"/>
      </w:rPr>
    </w:lvl>
  </w:abstractNum>
  <w:abstractNum w:abstractNumId="16" w15:restartNumberingAfterBreak="0">
    <w:nsid w:val="3A743301"/>
    <w:multiLevelType w:val="hybridMultilevel"/>
    <w:tmpl w:val="DB9EB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2BD"/>
    <w:multiLevelType w:val="hybridMultilevel"/>
    <w:tmpl w:val="82DA5DFC"/>
    <w:lvl w:ilvl="0" w:tplc="6A3CFC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95DE4"/>
    <w:multiLevelType w:val="hybridMultilevel"/>
    <w:tmpl w:val="8DDE051C"/>
    <w:lvl w:ilvl="0" w:tplc="BD48E206">
      <w:start w:val="1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61708"/>
    <w:multiLevelType w:val="hybridMultilevel"/>
    <w:tmpl w:val="71FC4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B6685"/>
    <w:multiLevelType w:val="hybridMultilevel"/>
    <w:tmpl w:val="FFFFFFFF"/>
    <w:lvl w:ilvl="0" w:tplc="9EDE2ED8">
      <w:start w:val="1"/>
      <w:numFmt w:val="bullet"/>
      <w:lvlText w:val="-"/>
      <w:lvlJc w:val="left"/>
      <w:pPr>
        <w:ind w:left="720" w:hanging="360"/>
      </w:pPr>
      <w:rPr>
        <w:rFonts w:ascii="Calibri" w:hAnsi="Calibri" w:hint="default"/>
      </w:rPr>
    </w:lvl>
    <w:lvl w:ilvl="1" w:tplc="A26EC2B2">
      <w:start w:val="1"/>
      <w:numFmt w:val="bullet"/>
      <w:lvlText w:val="o"/>
      <w:lvlJc w:val="left"/>
      <w:pPr>
        <w:ind w:left="1440" w:hanging="360"/>
      </w:pPr>
      <w:rPr>
        <w:rFonts w:ascii="Courier New" w:hAnsi="Courier New" w:hint="default"/>
      </w:rPr>
    </w:lvl>
    <w:lvl w:ilvl="2" w:tplc="B06C8C9E">
      <w:start w:val="1"/>
      <w:numFmt w:val="bullet"/>
      <w:lvlText w:val=""/>
      <w:lvlJc w:val="left"/>
      <w:pPr>
        <w:ind w:left="2160" w:hanging="360"/>
      </w:pPr>
      <w:rPr>
        <w:rFonts w:ascii="Wingdings" w:hAnsi="Wingdings" w:hint="default"/>
      </w:rPr>
    </w:lvl>
    <w:lvl w:ilvl="3" w:tplc="2BC6B39A">
      <w:start w:val="1"/>
      <w:numFmt w:val="bullet"/>
      <w:lvlText w:val=""/>
      <w:lvlJc w:val="left"/>
      <w:pPr>
        <w:ind w:left="2880" w:hanging="360"/>
      </w:pPr>
      <w:rPr>
        <w:rFonts w:ascii="Symbol" w:hAnsi="Symbol" w:hint="default"/>
      </w:rPr>
    </w:lvl>
    <w:lvl w:ilvl="4" w:tplc="D016994A">
      <w:start w:val="1"/>
      <w:numFmt w:val="bullet"/>
      <w:lvlText w:val="o"/>
      <w:lvlJc w:val="left"/>
      <w:pPr>
        <w:ind w:left="3600" w:hanging="360"/>
      </w:pPr>
      <w:rPr>
        <w:rFonts w:ascii="Courier New" w:hAnsi="Courier New" w:hint="default"/>
      </w:rPr>
    </w:lvl>
    <w:lvl w:ilvl="5" w:tplc="14C052CA">
      <w:start w:val="1"/>
      <w:numFmt w:val="bullet"/>
      <w:lvlText w:val=""/>
      <w:lvlJc w:val="left"/>
      <w:pPr>
        <w:ind w:left="4320" w:hanging="360"/>
      </w:pPr>
      <w:rPr>
        <w:rFonts w:ascii="Wingdings" w:hAnsi="Wingdings" w:hint="default"/>
      </w:rPr>
    </w:lvl>
    <w:lvl w:ilvl="6" w:tplc="8C0065A2">
      <w:start w:val="1"/>
      <w:numFmt w:val="bullet"/>
      <w:lvlText w:val=""/>
      <w:lvlJc w:val="left"/>
      <w:pPr>
        <w:ind w:left="5040" w:hanging="360"/>
      </w:pPr>
      <w:rPr>
        <w:rFonts w:ascii="Symbol" w:hAnsi="Symbol" w:hint="default"/>
      </w:rPr>
    </w:lvl>
    <w:lvl w:ilvl="7" w:tplc="72FE1764">
      <w:start w:val="1"/>
      <w:numFmt w:val="bullet"/>
      <w:lvlText w:val="o"/>
      <w:lvlJc w:val="left"/>
      <w:pPr>
        <w:ind w:left="5760" w:hanging="360"/>
      </w:pPr>
      <w:rPr>
        <w:rFonts w:ascii="Courier New" w:hAnsi="Courier New" w:hint="default"/>
      </w:rPr>
    </w:lvl>
    <w:lvl w:ilvl="8" w:tplc="AE0467CA">
      <w:start w:val="1"/>
      <w:numFmt w:val="bullet"/>
      <w:lvlText w:val=""/>
      <w:lvlJc w:val="left"/>
      <w:pPr>
        <w:ind w:left="6480" w:hanging="360"/>
      </w:pPr>
      <w:rPr>
        <w:rFonts w:ascii="Wingdings" w:hAnsi="Wingdings" w:hint="default"/>
      </w:rPr>
    </w:lvl>
  </w:abstractNum>
  <w:abstractNum w:abstractNumId="21" w15:restartNumberingAfterBreak="0">
    <w:nsid w:val="4587003B"/>
    <w:multiLevelType w:val="hybridMultilevel"/>
    <w:tmpl w:val="EBE2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252BBB"/>
    <w:multiLevelType w:val="hybridMultilevel"/>
    <w:tmpl w:val="E480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464A4"/>
    <w:multiLevelType w:val="hybridMultilevel"/>
    <w:tmpl w:val="4D3A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67533"/>
    <w:multiLevelType w:val="hybridMultilevel"/>
    <w:tmpl w:val="10C0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0DAC"/>
    <w:multiLevelType w:val="hybridMultilevel"/>
    <w:tmpl w:val="750E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C446F"/>
    <w:multiLevelType w:val="hybridMultilevel"/>
    <w:tmpl w:val="584825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25E32"/>
    <w:multiLevelType w:val="hybridMultilevel"/>
    <w:tmpl w:val="DA7C730C"/>
    <w:lvl w:ilvl="0" w:tplc="6B063768">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670A"/>
    <w:multiLevelType w:val="hybridMultilevel"/>
    <w:tmpl w:val="5FE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4AD3"/>
    <w:multiLevelType w:val="hybridMultilevel"/>
    <w:tmpl w:val="AC3A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055D0"/>
    <w:multiLevelType w:val="hybridMultilevel"/>
    <w:tmpl w:val="750E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A0489"/>
    <w:multiLevelType w:val="hybridMultilevel"/>
    <w:tmpl w:val="49D24A58"/>
    <w:lvl w:ilvl="0" w:tplc="6B063768">
      <w:start w:val="1"/>
      <w:numFmt w:val="decimal"/>
      <w:lvlText w:val="%1."/>
      <w:lvlJc w:val="left"/>
      <w:pPr>
        <w:ind w:left="720" w:hanging="360"/>
      </w:pPr>
      <w:rPr>
        <w:rFonts w:eastAsia="Calibri" w:hint="default"/>
        <w:color w:val="000000" w:themeColor="text1"/>
      </w:rPr>
    </w:lvl>
    <w:lvl w:ilvl="1" w:tplc="063A2884">
      <w:start w:val="1"/>
      <w:numFmt w:val="bullet"/>
      <w:lvlText w:val="o"/>
      <w:lvlJc w:val="left"/>
      <w:pPr>
        <w:ind w:left="1440" w:hanging="360"/>
      </w:pPr>
      <w:rPr>
        <w:rFonts w:ascii="Courier New" w:hAnsi="Courier New" w:hint="default"/>
      </w:rPr>
    </w:lvl>
    <w:lvl w:ilvl="2" w:tplc="ACCA4832">
      <w:start w:val="1"/>
      <w:numFmt w:val="bullet"/>
      <w:lvlText w:val=""/>
      <w:lvlJc w:val="left"/>
      <w:pPr>
        <w:ind w:left="2160" w:hanging="360"/>
      </w:pPr>
      <w:rPr>
        <w:rFonts w:ascii="Wingdings" w:hAnsi="Wingdings" w:hint="default"/>
      </w:rPr>
    </w:lvl>
    <w:lvl w:ilvl="3" w:tplc="FB1E769C">
      <w:start w:val="1"/>
      <w:numFmt w:val="bullet"/>
      <w:lvlText w:val=""/>
      <w:lvlJc w:val="left"/>
      <w:pPr>
        <w:ind w:left="2880" w:hanging="360"/>
      </w:pPr>
      <w:rPr>
        <w:rFonts w:ascii="Symbol" w:hAnsi="Symbol" w:hint="default"/>
      </w:rPr>
    </w:lvl>
    <w:lvl w:ilvl="4" w:tplc="D374AEDE">
      <w:start w:val="1"/>
      <w:numFmt w:val="bullet"/>
      <w:lvlText w:val="o"/>
      <w:lvlJc w:val="left"/>
      <w:pPr>
        <w:ind w:left="3600" w:hanging="360"/>
      </w:pPr>
      <w:rPr>
        <w:rFonts w:ascii="Courier New" w:hAnsi="Courier New" w:hint="default"/>
      </w:rPr>
    </w:lvl>
    <w:lvl w:ilvl="5" w:tplc="11C29E94">
      <w:start w:val="1"/>
      <w:numFmt w:val="bullet"/>
      <w:lvlText w:val=""/>
      <w:lvlJc w:val="left"/>
      <w:pPr>
        <w:ind w:left="4320" w:hanging="360"/>
      </w:pPr>
      <w:rPr>
        <w:rFonts w:ascii="Wingdings" w:hAnsi="Wingdings" w:hint="default"/>
      </w:rPr>
    </w:lvl>
    <w:lvl w:ilvl="6" w:tplc="2A460C38">
      <w:start w:val="1"/>
      <w:numFmt w:val="bullet"/>
      <w:lvlText w:val=""/>
      <w:lvlJc w:val="left"/>
      <w:pPr>
        <w:ind w:left="5040" w:hanging="360"/>
      </w:pPr>
      <w:rPr>
        <w:rFonts w:ascii="Symbol" w:hAnsi="Symbol" w:hint="default"/>
      </w:rPr>
    </w:lvl>
    <w:lvl w:ilvl="7" w:tplc="0F0460D6">
      <w:start w:val="1"/>
      <w:numFmt w:val="bullet"/>
      <w:lvlText w:val="o"/>
      <w:lvlJc w:val="left"/>
      <w:pPr>
        <w:ind w:left="5760" w:hanging="360"/>
      </w:pPr>
      <w:rPr>
        <w:rFonts w:ascii="Courier New" w:hAnsi="Courier New" w:hint="default"/>
      </w:rPr>
    </w:lvl>
    <w:lvl w:ilvl="8" w:tplc="488EBC40">
      <w:start w:val="1"/>
      <w:numFmt w:val="bullet"/>
      <w:lvlText w:val=""/>
      <w:lvlJc w:val="left"/>
      <w:pPr>
        <w:ind w:left="6480" w:hanging="360"/>
      </w:pPr>
      <w:rPr>
        <w:rFonts w:ascii="Wingdings" w:hAnsi="Wingdings" w:hint="default"/>
      </w:rPr>
    </w:lvl>
  </w:abstractNum>
  <w:abstractNum w:abstractNumId="32" w15:restartNumberingAfterBreak="0">
    <w:nsid w:val="62C859A8"/>
    <w:multiLevelType w:val="hybridMultilevel"/>
    <w:tmpl w:val="3F94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B5474"/>
    <w:multiLevelType w:val="hybridMultilevel"/>
    <w:tmpl w:val="78D4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54500"/>
    <w:multiLevelType w:val="hybridMultilevel"/>
    <w:tmpl w:val="8F34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D5AE3"/>
    <w:multiLevelType w:val="hybridMultilevel"/>
    <w:tmpl w:val="DA62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D762F"/>
    <w:multiLevelType w:val="hybridMultilevel"/>
    <w:tmpl w:val="6F98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23EBC"/>
    <w:multiLevelType w:val="hybridMultilevel"/>
    <w:tmpl w:val="DC18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F4E08"/>
    <w:multiLevelType w:val="hybridMultilevel"/>
    <w:tmpl w:val="9BD4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C391B"/>
    <w:multiLevelType w:val="hybridMultilevel"/>
    <w:tmpl w:val="FFFFFFFF"/>
    <w:lvl w:ilvl="0" w:tplc="EF68E93C">
      <w:start w:val="1"/>
      <w:numFmt w:val="bullet"/>
      <w:lvlText w:val="-"/>
      <w:lvlJc w:val="left"/>
      <w:pPr>
        <w:ind w:left="720" w:hanging="360"/>
      </w:pPr>
      <w:rPr>
        <w:rFonts w:ascii="Calibri" w:hAnsi="Calibri" w:hint="default"/>
      </w:rPr>
    </w:lvl>
    <w:lvl w:ilvl="1" w:tplc="4F78200C">
      <w:start w:val="1"/>
      <w:numFmt w:val="bullet"/>
      <w:lvlText w:val="o"/>
      <w:lvlJc w:val="left"/>
      <w:pPr>
        <w:ind w:left="1440" w:hanging="360"/>
      </w:pPr>
      <w:rPr>
        <w:rFonts w:ascii="Courier New" w:hAnsi="Courier New" w:hint="default"/>
      </w:rPr>
    </w:lvl>
    <w:lvl w:ilvl="2" w:tplc="E370D6CE">
      <w:start w:val="1"/>
      <w:numFmt w:val="bullet"/>
      <w:lvlText w:val=""/>
      <w:lvlJc w:val="left"/>
      <w:pPr>
        <w:ind w:left="2160" w:hanging="360"/>
      </w:pPr>
      <w:rPr>
        <w:rFonts w:ascii="Wingdings" w:hAnsi="Wingdings" w:hint="default"/>
      </w:rPr>
    </w:lvl>
    <w:lvl w:ilvl="3" w:tplc="425AF570">
      <w:start w:val="1"/>
      <w:numFmt w:val="bullet"/>
      <w:lvlText w:val=""/>
      <w:lvlJc w:val="left"/>
      <w:pPr>
        <w:ind w:left="2880" w:hanging="360"/>
      </w:pPr>
      <w:rPr>
        <w:rFonts w:ascii="Symbol" w:hAnsi="Symbol" w:hint="default"/>
      </w:rPr>
    </w:lvl>
    <w:lvl w:ilvl="4" w:tplc="64441E64">
      <w:start w:val="1"/>
      <w:numFmt w:val="bullet"/>
      <w:lvlText w:val="o"/>
      <w:lvlJc w:val="left"/>
      <w:pPr>
        <w:ind w:left="3600" w:hanging="360"/>
      </w:pPr>
      <w:rPr>
        <w:rFonts w:ascii="Courier New" w:hAnsi="Courier New" w:hint="default"/>
      </w:rPr>
    </w:lvl>
    <w:lvl w:ilvl="5" w:tplc="29727AC0">
      <w:start w:val="1"/>
      <w:numFmt w:val="bullet"/>
      <w:lvlText w:val=""/>
      <w:lvlJc w:val="left"/>
      <w:pPr>
        <w:ind w:left="4320" w:hanging="360"/>
      </w:pPr>
      <w:rPr>
        <w:rFonts w:ascii="Wingdings" w:hAnsi="Wingdings" w:hint="default"/>
      </w:rPr>
    </w:lvl>
    <w:lvl w:ilvl="6" w:tplc="B56A5652">
      <w:start w:val="1"/>
      <w:numFmt w:val="bullet"/>
      <w:lvlText w:val=""/>
      <w:lvlJc w:val="left"/>
      <w:pPr>
        <w:ind w:left="5040" w:hanging="360"/>
      </w:pPr>
      <w:rPr>
        <w:rFonts w:ascii="Symbol" w:hAnsi="Symbol" w:hint="default"/>
      </w:rPr>
    </w:lvl>
    <w:lvl w:ilvl="7" w:tplc="DBB08ED8">
      <w:start w:val="1"/>
      <w:numFmt w:val="bullet"/>
      <w:lvlText w:val="o"/>
      <w:lvlJc w:val="left"/>
      <w:pPr>
        <w:ind w:left="5760" w:hanging="360"/>
      </w:pPr>
      <w:rPr>
        <w:rFonts w:ascii="Courier New" w:hAnsi="Courier New" w:hint="default"/>
      </w:rPr>
    </w:lvl>
    <w:lvl w:ilvl="8" w:tplc="96DAC0EE">
      <w:start w:val="1"/>
      <w:numFmt w:val="bullet"/>
      <w:lvlText w:val=""/>
      <w:lvlJc w:val="left"/>
      <w:pPr>
        <w:ind w:left="6480" w:hanging="360"/>
      </w:pPr>
      <w:rPr>
        <w:rFonts w:ascii="Wingdings" w:hAnsi="Wingdings" w:hint="default"/>
      </w:rPr>
    </w:lvl>
  </w:abstractNum>
  <w:abstractNum w:abstractNumId="40" w15:restartNumberingAfterBreak="0">
    <w:nsid w:val="748C6C7B"/>
    <w:multiLevelType w:val="hybridMultilevel"/>
    <w:tmpl w:val="28324AA2"/>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737EC"/>
    <w:multiLevelType w:val="hybridMultilevel"/>
    <w:tmpl w:val="387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D5738"/>
    <w:multiLevelType w:val="hybridMultilevel"/>
    <w:tmpl w:val="88603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16325"/>
    <w:multiLevelType w:val="hybridMultilevel"/>
    <w:tmpl w:val="081C9D82"/>
    <w:lvl w:ilvl="0" w:tplc="5E4854D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F3A4C"/>
    <w:multiLevelType w:val="hybridMultilevel"/>
    <w:tmpl w:val="4C26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001B7"/>
    <w:multiLevelType w:val="hybridMultilevel"/>
    <w:tmpl w:val="DCAC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7191D"/>
    <w:multiLevelType w:val="hybridMultilevel"/>
    <w:tmpl w:val="FFFFFFFF"/>
    <w:lvl w:ilvl="0" w:tplc="49FCDE82">
      <w:start w:val="1"/>
      <w:numFmt w:val="bullet"/>
      <w:lvlText w:val="-"/>
      <w:lvlJc w:val="left"/>
      <w:pPr>
        <w:ind w:left="720" w:hanging="360"/>
      </w:pPr>
      <w:rPr>
        <w:rFonts w:ascii="Calibri" w:hAnsi="Calibri" w:hint="default"/>
      </w:rPr>
    </w:lvl>
    <w:lvl w:ilvl="1" w:tplc="A574FDAC">
      <w:start w:val="1"/>
      <w:numFmt w:val="bullet"/>
      <w:lvlText w:val="o"/>
      <w:lvlJc w:val="left"/>
      <w:pPr>
        <w:ind w:left="1440" w:hanging="360"/>
      </w:pPr>
      <w:rPr>
        <w:rFonts w:ascii="Courier New" w:hAnsi="Courier New" w:hint="default"/>
      </w:rPr>
    </w:lvl>
    <w:lvl w:ilvl="2" w:tplc="6EF66A74">
      <w:start w:val="1"/>
      <w:numFmt w:val="bullet"/>
      <w:lvlText w:val=""/>
      <w:lvlJc w:val="left"/>
      <w:pPr>
        <w:ind w:left="2160" w:hanging="360"/>
      </w:pPr>
      <w:rPr>
        <w:rFonts w:ascii="Wingdings" w:hAnsi="Wingdings" w:hint="default"/>
      </w:rPr>
    </w:lvl>
    <w:lvl w:ilvl="3" w:tplc="85FC7F10">
      <w:start w:val="1"/>
      <w:numFmt w:val="bullet"/>
      <w:lvlText w:val=""/>
      <w:lvlJc w:val="left"/>
      <w:pPr>
        <w:ind w:left="2880" w:hanging="360"/>
      </w:pPr>
      <w:rPr>
        <w:rFonts w:ascii="Symbol" w:hAnsi="Symbol" w:hint="default"/>
      </w:rPr>
    </w:lvl>
    <w:lvl w:ilvl="4" w:tplc="00B0A3E4">
      <w:start w:val="1"/>
      <w:numFmt w:val="bullet"/>
      <w:lvlText w:val="o"/>
      <w:lvlJc w:val="left"/>
      <w:pPr>
        <w:ind w:left="3600" w:hanging="360"/>
      </w:pPr>
      <w:rPr>
        <w:rFonts w:ascii="Courier New" w:hAnsi="Courier New" w:hint="default"/>
      </w:rPr>
    </w:lvl>
    <w:lvl w:ilvl="5" w:tplc="0CAA22A8">
      <w:start w:val="1"/>
      <w:numFmt w:val="bullet"/>
      <w:lvlText w:val=""/>
      <w:lvlJc w:val="left"/>
      <w:pPr>
        <w:ind w:left="4320" w:hanging="360"/>
      </w:pPr>
      <w:rPr>
        <w:rFonts w:ascii="Wingdings" w:hAnsi="Wingdings" w:hint="default"/>
      </w:rPr>
    </w:lvl>
    <w:lvl w:ilvl="6" w:tplc="E05A8EC8">
      <w:start w:val="1"/>
      <w:numFmt w:val="bullet"/>
      <w:lvlText w:val=""/>
      <w:lvlJc w:val="left"/>
      <w:pPr>
        <w:ind w:left="5040" w:hanging="360"/>
      </w:pPr>
      <w:rPr>
        <w:rFonts w:ascii="Symbol" w:hAnsi="Symbol" w:hint="default"/>
      </w:rPr>
    </w:lvl>
    <w:lvl w:ilvl="7" w:tplc="0AB6441A">
      <w:start w:val="1"/>
      <w:numFmt w:val="bullet"/>
      <w:lvlText w:val="o"/>
      <w:lvlJc w:val="left"/>
      <w:pPr>
        <w:ind w:left="5760" w:hanging="360"/>
      </w:pPr>
      <w:rPr>
        <w:rFonts w:ascii="Courier New" w:hAnsi="Courier New" w:hint="default"/>
      </w:rPr>
    </w:lvl>
    <w:lvl w:ilvl="8" w:tplc="05247A0E">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32"/>
  </w:num>
  <w:num w:numId="4">
    <w:abstractNumId w:val="30"/>
  </w:num>
  <w:num w:numId="5">
    <w:abstractNumId w:val="25"/>
  </w:num>
  <w:num w:numId="6">
    <w:abstractNumId w:val="43"/>
  </w:num>
  <w:num w:numId="7">
    <w:abstractNumId w:val="28"/>
  </w:num>
  <w:num w:numId="8">
    <w:abstractNumId w:val="41"/>
  </w:num>
  <w:num w:numId="9">
    <w:abstractNumId w:val="9"/>
  </w:num>
  <w:num w:numId="10">
    <w:abstractNumId w:val="34"/>
  </w:num>
  <w:num w:numId="11">
    <w:abstractNumId w:val="22"/>
  </w:num>
  <w:num w:numId="12">
    <w:abstractNumId w:val="17"/>
  </w:num>
  <w:num w:numId="13">
    <w:abstractNumId w:val="36"/>
  </w:num>
  <w:num w:numId="14">
    <w:abstractNumId w:val="29"/>
  </w:num>
  <w:num w:numId="15">
    <w:abstractNumId w:val="45"/>
  </w:num>
  <w:num w:numId="16">
    <w:abstractNumId w:val="35"/>
  </w:num>
  <w:num w:numId="17">
    <w:abstractNumId w:val="44"/>
  </w:num>
  <w:num w:numId="18">
    <w:abstractNumId w:val="33"/>
  </w:num>
  <w:num w:numId="19">
    <w:abstractNumId w:val="24"/>
  </w:num>
  <w:num w:numId="20">
    <w:abstractNumId w:val="37"/>
  </w:num>
  <w:num w:numId="21">
    <w:abstractNumId w:val="42"/>
  </w:num>
  <w:num w:numId="22">
    <w:abstractNumId w:val="38"/>
  </w:num>
  <w:num w:numId="23">
    <w:abstractNumId w:val="26"/>
  </w:num>
  <w:num w:numId="24">
    <w:abstractNumId w:val="23"/>
  </w:num>
  <w:num w:numId="25">
    <w:abstractNumId w:val="0"/>
  </w:num>
  <w:num w:numId="26">
    <w:abstractNumId w:val="10"/>
  </w:num>
  <w:num w:numId="27">
    <w:abstractNumId w:val="6"/>
  </w:num>
  <w:num w:numId="28">
    <w:abstractNumId w:val="19"/>
  </w:num>
  <w:num w:numId="29">
    <w:abstractNumId w:val="5"/>
  </w:num>
  <w:num w:numId="30">
    <w:abstractNumId w:val="13"/>
  </w:num>
  <w:num w:numId="31">
    <w:abstractNumId w:val="39"/>
  </w:num>
  <w:num w:numId="32">
    <w:abstractNumId w:val="20"/>
  </w:num>
  <w:num w:numId="33">
    <w:abstractNumId w:val="46"/>
  </w:num>
  <w:num w:numId="34">
    <w:abstractNumId w:val="14"/>
  </w:num>
  <w:num w:numId="35">
    <w:abstractNumId w:val="8"/>
  </w:num>
  <w:num w:numId="36">
    <w:abstractNumId w:val="2"/>
  </w:num>
  <w:num w:numId="37">
    <w:abstractNumId w:val="15"/>
  </w:num>
  <w:num w:numId="38">
    <w:abstractNumId w:val="21"/>
  </w:num>
  <w:num w:numId="39">
    <w:abstractNumId w:val="7"/>
  </w:num>
  <w:num w:numId="40">
    <w:abstractNumId w:val="16"/>
  </w:num>
  <w:num w:numId="41">
    <w:abstractNumId w:val="4"/>
  </w:num>
  <w:num w:numId="42">
    <w:abstractNumId w:val="18"/>
  </w:num>
  <w:num w:numId="43">
    <w:abstractNumId w:val="1"/>
  </w:num>
  <w:num w:numId="44">
    <w:abstractNumId w:val="40"/>
  </w:num>
  <w:num w:numId="45">
    <w:abstractNumId w:val="11"/>
  </w:num>
  <w:num w:numId="46">
    <w:abstractNumId w:val="3"/>
  </w:num>
  <w:num w:numId="4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AF"/>
    <w:rsid w:val="00000825"/>
    <w:rsid w:val="00000F73"/>
    <w:rsid w:val="00001F80"/>
    <w:rsid w:val="00002F38"/>
    <w:rsid w:val="00004906"/>
    <w:rsid w:val="00005536"/>
    <w:rsid w:val="000060C0"/>
    <w:rsid w:val="000062EF"/>
    <w:rsid w:val="000075BD"/>
    <w:rsid w:val="0000771E"/>
    <w:rsid w:val="00011BF9"/>
    <w:rsid w:val="0001308C"/>
    <w:rsid w:val="000137A1"/>
    <w:rsid w:val="00013858"/>
    <w:rsid w:val="00014003"/>
    <w:rsid w:val="00014E78"/>
    <w:rsid w:val="000153B7"/>
    <w:rsid w:val="00015995"/>
    <w:rsid w:val="00015E03"/>
    <w:rsid w:val="000163DA"/>
    <w:rsid w:val="000166CC"/>
    <w:rsid w:val="00016C8C"/>
    <w:rsid w:val="00017396"/>
    <w:rsid w:val="0002079A"/>
    <w:rsid w:val="00020906"/>
    <w:rsid w:val="00020FB8"/>
    <w:rsid w:val="00021F34"/>
    <w:rsid w:val="00023040"/>
    <w:rsid w:val="0002369A"/>
    <w:rsid w:val="00023D79"/>
    <w:rsid w:val="00024340"/>
    <w:rsid w:val="0002477B"/>
    <w:rsid w:val="00024FAA"/>
    <w:rsid w:val="00025048"/>
    <w:rsid w:val="000252F6"/>
    <w:rsid w:val="00025842"/>
    <w:rsid w:val="00025D6E"/>
    <w:rsid w:val="000265A1"/>
    <w:rsid w:val="0002724A"/>
    <w:rsid w:val="00027384"/>
    <w:rsid w:val="00027FAD"/>
    <w:rsid w:val="00030071"/>
    <w:rsid w:val="00030297"/>
    <w:rsid w:val="000320C5"/>
    <w:rsid w:val="00032327"/>
    <w:rsid w:val="00032373"/>
    <w:rsid w:val="0003270B"/>
    <w:rsid w:val="0003294E"/>
    <w:rsid w:val="00034262"/>
    <w:rsid w:val="00034402"/>
    <w:rsid w:val="00034604"/>
    <w:rsid w:val="00034702"/>
    <w:rsid w:val="00034E49"/>
    <w:rsid w:val="00034E52"/>
    <w:rsid w:val="00035185"/>
    <w:rsid w:val="00035B87"/>
    <w:rsid w:val="0003625F"/>
    <w:rsid w:val="00036313"/>
    <w:rsid w:val="00036333"/>
    <w:rsid w:val="000364C3"/>
    <w:rsid w:val="00036A86"/>
    <w:rsid w:val="0003717C"/>
    <w:rsid w:val="00037256"/>
    <w:rsid w:val="0003733B"/>
    <w:rsid w:val="0003786A"/>
    <w:rsid w:val="00037CE1"/>
    <w:rsid w:val="00040843"/>
    <w:rsid w:val="00040965"/>
    <w:rsid w:val="00040E4C"/>
    <w:rsid w:val="000411C7"/>
    <w:rsid w:val="00041796"/>
    <w:rsid w:val="00041997"/>
    <w:rsid w:val="00041C62"/>
    <w:rsid w:val="000423DF"/>
    <w:rsid w:val="00042B86"/>
    <w:rsid w:val="00042BD3"/>
    <w:rsid w:val="00042D54"/>
    <w:rsid w:val="00042F6C"/>
    <w:rsid w:val="00044BDF"/>
    <w:rsid w:val="000454B4"/>
    <w:rsid w:val="000470B9"/>
    <w:rsid w:val="00047BFF"/>
    <w:rsid w:val="0005039E"/>
    <w:rsid w:val="000507C4"/>
    <w:rsid w:val="00051096"/>
    <w:rsid w:val="000510AE"/>
    <w:rsid w:val="00051834"/>
    <w:rsid w:val="00051AD5"/>
    <w:rsid w:val="00051F47"/>
    <w:rsid w:val="0005211B"/>
    <w:rsid w:val="000532B8"/>
    <w:rsid w:val="0005525C"/>
    <w:rsid w:val="000552E5"/>
    <w:rsid w:val="00057659"/>
    <w:rsid w:val="000579E2"/>
    <w:rsid w:val="000608DC"/>
    <w:rsid w:val="00060B03"/>
    <w:rsid w:val="000619DF"/>
    <w:rsid w:val="00061AF1"/>
    <w:rsid w:val="00063EB9"/>
    <w:rsid w:val="0006494D"/>
    <w:rsid w:val="00064C6F"/>
    <w:rsid w:val="00065958"/>
    <w:rsid w:val="00065B0A"/>
    <w:rsid w:val="00066D49"/>
    <w:rsid w:val="00067B5D"/>
    <w:rsid w:val="00067BDB"/>
    <w:rsid w:val="00067E34"/>
    <w:rsid w:val="00070B69"/>
    <w:rsid w:val="0007107F"/>
    <w:rsid w:val="00071A6A"/>
    <w:rsid w:val="0007237B"/>
    <w:rsid w:val="000724A5"/>
    <w:rsid w:val="00072663"/>
    <w:rsid w:val="0007299D"/>
    <w:rsid w:val="00073BD4"/>
    <w:rsid w:val="00073DCC"/>
    <w:rsid w:val="0007415E"/>
    <w:rsid w:val="00074C24"/>
    <w:rsid w:val="00076759"/>
    <w:rsid w:val="00076A04"/>
    <w:rsid w:val="00076E97"/>
    <w:rsid w:val="00077CAC"/>
    <w:rsid w:val="00077F72"/>
    <w:rsid w:val="00077F78"/>
    <w:rsid w:val="00080A59"/>
    <w:rsid w:val="00080E6F"/>
    <w:rsid w:val="00081461"/>
    <w:rsid w:val="0008176C"/>
    <w:rsid w:val="00082154"/>
    <w:rsid w:val="00082B3E"/>
    <w:rsid w:val="00084386"/>
    <w:rsid w:val="000846C5"/>
    <w:rsid w:val="000848BA"/>
    <w:rsid w:val="000849BF"/>
    <w:rsid w:val="000850B5"/>
    <w:rsid w:val="000856A8"/>
    <w:rsid w:val="00085E86"/>
    <w:rsid w:val="00086914"/>
    <w:rsid w:val="00086EB4"/>
    <w:rsid w:val="000870B9"/>
    <w:rsid w:val="000878C4"/>
    <w:rsid w:val="00090AF6"/>
    <w:rsid w:val="000921CE"/>
    <w:rsid w:val="0009313E"/>
    <w:rsid w:val="00093515"/>
    <w:rsid w:val="00094F91"/>
    <w:rsid w:val="0009539E"/>
    <w:rsid w:val="00095622"/>
    <w:rsid w:val="00095A09"/>
    <w:rsid w:val="00095A15"/>
    <w:rsid w:val="00095E38"/>
    <w:rsid w:val="00096AEC"/>
    <w:rsid w:val="00096DE1"/>
    <w:rsid w:val="00097DDA"/>
    <w:rsid w:val="00097F0E"/>
    <w:rsid w:val="000A1244"/>
    <w:rsid w:val="000A1A90"/>
    <w:rsid w:val="000A27F5"/>
    <w:rsid w:val="000A3FF0"/>
    <w:rsid w:val="000A418B"/>
    <w:rsid w:val="000A66A8"/>
    <w:rsid w:val="000A6F95"/>
    <w:rsid w:val="000A6FC1"/>
    <w:rsid w:val="000A7318"/>
    <w:rsid w:val="000A7768"/>
    <w:rsid w:val="000B0ABF"/>
    <w:rsid w:val="000B0E2C"/>
    <w:rsid w:val="000B0ED4"/>
    <w:rsid w:val="000B1D67"/>
    <w:rsid w:val="000B246A"/>
    <w:rsid w:val="000B2EF0"/>
    <w:rsid w:val="000B2FD7"/>
    <w:rsid w:val="000B36D5"/>
    <w:rsid w:val="000B37E7"/>
    <w:rsid w:val="000B4472"/>
    <w:rsid w:val="000B4F4C"/>
    <w:rsid w:val="000B522C"/>
    <w:rsid w:val="000B7C0C"/>
    <w:rsid w:val="000C0941"/>
    <w:rsid w:val="000C0B09"/>
    <w:rsid w:val="000C0F96"/>
    <w:rsid w:val="000C12E2"/>
    <w:rsid w:val="000C2432"/>
    <w:rsid w:val="000C318F"/>
    <w:rsid w:val="000C3A3B"/>
    <w:rsid w:val="000C411E"/>
    <w:rsid w:val="000C44A6"/>
    <w:rsid w:val="000C5013"/>
    <w:rsid w:val="000C59A2"/>
    <w:rsid w:val="000C62F9"/>
    <w:rsid w:val="000C6BB5"/>
    <w:rsid w:val="000C7860"/>
    <w:rsid w:val="000D00F5"/>
    <w:rsid w:val="000D0B70"/>
    <w:rsid w:val="000D0CB8"/>
    <w:rsid w:val="000D1A1D"/>
    <w:rsid w:val="000D1CEC"/>
    <w:rsid w:val="000D1F24"/>
    <w:rsid w:val="000D22F3"/>
    <w:rsid w:val="000D2AE2"/>
    <w:rsid w:val="000D2D2D"/>
    <w:rsid w:val="000D369D"/>
    <w:rsid w:val="000D4458"/>
    <w:rsid w:val="000D5AD6"/>
    <w:rsid w:val="000D5C2D"/>
    <w:rsid w:val="000D6E8D"/>
    <w:rsid w:val="000D6FFA"/>
    <w:rsid w:val="000D7F40"/>
    <w:rsid w:val="000E1063"/>
    <w:rsid w:val="000E2379"/>
    <w:rsid w:val="000E260B"/>
    <w:rsid w:val="000E313A"/>
    <w:rsid w:val="000E31D1"/>
    <w:rsid w:val="000E336B"/>
    <w:rsid w:val="000E373B"/>
    <w:rsid w:val="000E44AD"/>
    <w:rsid w:val="000E4F30"/>
    <w:rsid w:val="000E6764"/>
    <w:rsid w:val="000E6C2A"/>
    <w:rsid w:val="000F06EE"/>
    <w:rsid w:val="000F0E8B"/>
    <w:rsid w:val="000F1527"/>
    <w:rsid w:val="000F1696"/>
    <w:rsid w:val="000F1DE8"/>
    <w:rsid w:val="000F3E68"/>
    <w:rsid w:val="000F4836"/>
    <w:rsid w:val="000F4FC0"/>
    <w:rsid w:val="000F5049"/>
    <w:rsid w:val="000F5456"/>
    <w:rsid w:val="000F5AD3"/>
    <w:rsid w:val="000F60AC"/>
    <w:rsid w:val="000F6383"/>
    <w:rsid w:val="000F63DA"/>
    <w:rsid w:val="000F6D33"/>
    <w:rsid w:val="001007F7"/>
    <w:rsid w:val="00100CBF"/>
    <w:rsid w:val="00100CF7"/>
    <w:rsid w:val="001014EB"/>
    <w:rsid w:val="001016B9"/>
    <w:rsid w:val="00101909"/>
    <w:rsid w:val="00101AFA"/>
    <w:rsid w:val="0010225A"/>
    <w:rsid w:val="001025A4"/>
    <w:rsid w:val="00103F3E"/>
    <w:rsid w:val="00105543"/>
    <w:rsid w:val="0010686D"/>
    <w:rsid w:val="001101D5"/>
    <w:rsid w:val="00111457"/>
    <w:rsid w:val="00111528"/>
    <w:rsid w:val="0011172B"/>
    <w:rsid w:val="00112508"/>
    <w:rsid w:val="00113E3E"/>
    <w:rsid w:val="001148B5"/>
    <w:rsid w:val="001151BF"/>
    <w:rsid w:val="001175F4"/>
    <w:rsid w:val="001178C3"/>
    <w:rsid w:val="00122282"/>
    <w:rsid w:val="00122B81"/>
    <w:rsid w:val="00123990"/>
    <w:rsid w:val="00123C47"/>
    <w:rsid w:val="001244BC"/>
    <w:rsid w:val="00127181"/>
    <w:rsid w:val="00127C7A"/>
    <w:rsid w:val="00127F73"/>
    <w:rsid w:val="00130421"/>
    <w:rsid w:val="00130AAF"/>
    <w:rsid w:val="00131299"/>
    <w:rsid w:val="00132F78"/>
    <w:rsid w:val="00133FAA"/>
    <w:rsid w:val="001351F7"/>
    <w:rsid w:val="00135591"/>
    <w:rsid w:val="001358BB"/>
    <w:rsid w:val="00136366"/>
    <w:rsid w:val="0013652D"/>
    <w:rsid w:val="00136FE6"/>
    <w:rsid w:val="00137747"/>
    <w:rsid w:val="0014073E"/>
    <w:rsid w:val="001408C1"/>
    <w:rsid w:val="00140C50"/>
    <w:rsid w:val="00141284"/>
    <w:rsid w:val="00141730"/>
    <w:rsid w:val="00141B68"/>
    <w:rsid w:val="00142448"/>
    <w:rsid w:val="00142595"/>
    <w:rsid w:val="00142847"/>
    <w:rsid w:val="00142E20"/>
    <w:rsid w:val="00142F95"/>
    <w:rsid w:val="00143187"/>
    <w:rsid w:val="00143AFE"/>
    <w:rsid w:val="0014417B"/>
    <w:rsid w:val="00146AE4"/>
    <w:rsid w:val="00146AEE"/>
    <w:rsid w:val="00146FE4"/>
    <w:rsid w:val="00150B3B"/>
    <w:rsid w:val="0015265E"/>
    <w:rsid w:val="00152956"/>
    <w:rsid w:val="00152A7A"/>
    <w:rsid w:val="00153DF4"/>
    <w:rsid w:val="00153FC8"/>
    <w:rsid w:val="00154198"/>
    <w:rsid w:val="00155572"/>
    <w:rsid w:val="001557CE"/>
    <w:rsid w:val="00155E49"/>
    <w:rsid w:val="001567DA"/>
    <w:rsid w:val="001568E6"/>
    <w:rsid w:val="001570B5"/>
    <w:rsid w:val="001577A2"/>
    <w:rsid w:val="00157DB9"/>
    <w:rsid w:val="00160F08"/>
    <w:rsid w:val="0016137F"/>
    <w:rsid w:val="001613F1"/>
    <w:rsid w:val="00161B2F"/>
    <w:rsid w:val="001625C0"/>
    <w:rsid w:val="00162F8B"/>
    <w:rsid w:val="00162FD7"/>
    <w:rsid w:val="00164107"/>
    <w:rsid w:val="00165431"/>
    <w:rsid w:val="0016632F"/>
    <w:rsid w:val="00166564"/>
    <w:rsid w:val="00167BA1"/>
    <w:rsid w:val="0017013F"/>
    <w:rsid w:val="00172E36"/>
    <w:rsid w:val="00174886"/>
    <w:rsid w:val="00175175"/>
    <w:rsid w:val="00175B26"/>
    <w:rsid w:val="00175E62"/>
    <w:rsid w:val="00177822"/>
    <w:rsid w:val="001778FB"/>
    <w:rsid w:val="00180D1B"/>
    <w:rsid w:val="00181541"/>
    <w:rsid w:val="001821C7"/>
    <w:rsid w:val="001834F7"/>
    <w:rsid w:val="001835F5"/>
    <w:rsid w:val="00183D8E"/>
    <w:rsid w:val="001840DB"/>
    <w:rsid w:val="0018480E"/>
    <w:rsid w:val="00185428"/>
    <w:rsid w:val="00185A57"/>
    <w:rsid w:val="00185B7F"/>
    <w:rsid w:val="00185BA6"/>
    <w:rsid w:val="00185FC5"/>
    <w:rsid w:val="001860D0"/>
    <w:rsid w:val="00187D69"/>
    <w:rsid w:val="00190A2A"/>
    <w:rsid w:val="00191162"/>
    <w:rsid w:val="00191425"/>
    <w:rsid w:val="00191790"/>
    <w:rsid w:val="001919AD"/>
    <w:rsid w:val="00191EBA"/>
    <w:rsid w:val="00192697"/>
    <w:rsid w:val="001926ED"/>
    <w:rsid w:val="0019335D"/>
    <w:rsid w:val="00193F07"/>
    <w:rsid w:val="0019436F"/>
    <w:rsid w:val="001947B7"/>
    <w:rsid w:val="00194EF8"/>
    <w:rsid w:val="001952A2"/>
    <w:rsid w:val="00195719"/>
    <w:rsid w:val="00195FDA"/>
    <w:rsid w:val="00196529"/>
    <w:rsid w:val="00196C43"/>
    <w:rsid w:val="00196E21"/>
    <w:rsid w:val="0019709F"/>
    <w:rsid w:val="00197C94"/>
    <w:rsid w:val="00197F85"/>
    <w:rsid w:val="001A04D3"/>
    <w:rsid w:val="001A04F8"/>
    <w:rsid w:val="001A1310"/>
    <w:rsid w:val="001A1EA1"/>
    <w:rsid w:val="001A1F3B"/>
    <w:rsid w:val="001A2102"/>
    <w:rsid w:val="001A4987"/>
    <w:rsid w:val="001A5216"/>
    <w:rsid w:val="001A64B7"/>
    <w:rsid w:val="001A7BE9"/>
    <w:rsid w:val="001B04DB"/>
    <w:rsid w:val="001B0805"/>
    <w:rsid w:val="001B0CC5"/>
    <w:rsid w:val="001B0DD9"/>
    <w:rsid w:val="001B13A6"/>
    <w:rsid w:val="001B16D7"/>
    <w:rsid w:val="001B176D"/>
    <w:rsid w:val="001B1895"/>
    <w:rsid w:val="001B2E56"/>
    <w:rsid w:val="001B330C"/>
    <w:rsid w:val="001B3453"/>
    <w:rsid w:val="001B3AB8"/>
    <w:rsid w:val="001B4948"/>
    <w:rsid w:val="001B5854"/>
    <w:rsid w:val="001B6546"/>
    <w:rsid w:val="001B6831"/>
    <w:rsid w:val="001B6F3E"/>
    <w:rsid w:val="001B7E59"/>
    <w:rsid w:val="001C0E72"/>
    <w:rsid w:val="001C17C9"/>
    <w:rsid w:val="001C184B"/>
    <w:rsid w:val="001C2B2C"/>
    <w:rsid w:val="001C38C4"/>
    <w:rsid w:val="001C3D1E"/>
    <w:rsid w:val="001C4ED2"/>
    <w:rsid w:val="001C5403"/>
    <w:rsid w:val="001C5674"/>
    <w:rsid w:val="001C5B72"/>
    <w:rsid w:val="001C5C31"/>
    <w:rsid w:val="001C5DEE"/>
    <w:rsid w:val="001C692E"/>
    <w:rsid w:val="001C6B0D"/>
    <w:rsid w:val="001C70BC"/>
    <w:rsid w:val="001C7FE6"/>
    <w:rsid w:val="001D0EDD"/>
    <w:rsid w:val="001D270B"/>
    <w:rsid w:val="001D2889"/>
    <w:rsid w:val="001D3E74"/>
    <w:rsid w:val="001D4004"/>
    <w:rsid w:val="001D418B"/>
    <w:rsid w:val="001D41C0"/>
    <w:rsid w:val="001D464A"/>
    <w:rsid w:val="001D4C56"/>
    <w:rsid w:val="001D4E06"/>
    <w:rsid w:val="001D5354"/>
    <w:rsid w:val="001D6424"/>
    <w:rsid w:val="001D70E1"/>
    <w:rsid w:val="001D748B"/>
    <w:rsid w:val="001E124F"/>
    <w:rsid w:val="001E169C"/>
    <w:rsid w:val="001E1C73"/>
    <w:rsid w:val="001E2000"/>
    <w:rsid w:val="001E234E"/>
    <w:rsid w:val="001E2930"/>
    <w:rsid w:val="001E2FEE"/>
    <w:rsid w:val="001E3556"/>
    <w:rsid w:val="001E386D"/>
    <w:rsid w:val="001E3CF3"/>
    <w:rsid w:val="001E3DDF"/>
    <w:rsid w:val="001E42A2"/>
    <w:rsid w:val="001E4CDB"/>
    <w:rsid w:val="001E548F"/>
    <w:rsid w:val="001E70C8"/>
    <w:rsid w:val="001E713D"/>
    <w:rsid w:val="001E7343"/>
    <w:rsid w:val="001E737C"/>
    <w:rsid w:val="001E748A"/>
    <w:rsid w:val="001E7BB2"/>
    <w:rsid w:val="001E7FC3"/>
    <w:rsid w:val="001F0C6C"/>
    <w:rsid w:val="001F1F21"/>
    <w:rsid w:val="001F2333"/>
    <w:rsid w:val="001F3292"/>
    <w:rsid w:val="001F58B8"/>
    <w:rsid w:val="001F61D5"/>
    <w:rsid w:val="001F6B07"/>
    <w:rsid w:val="001F6E67"/>
    <w:rsid w:val="001F7C95"/>
    <w:rsid w:val="001F7DAC"/>
    <w:rsid w:val="0020030B"/>
    <w:rsid w:val="00200EED"/>
    <w:rsid w:val="00201420"/>
    <w:rsid w:val="00202097"/>
    <w:rsid w:val="00202243"/>
    <w:rsid w:val="002022C0"/>
    <w:rsid w:val="0020311C"/>
    <w:rsid w:val="002031A7"/>
    <w:rsid w:val="00203682"/>
    <w:rsid w:val="00203847"/>
    <w:rsid w:val="002045CB"/>
    <w:rsid w:val="00205D52"/>
    <w:rsid w:val="00205E91"/>
    <w:rsid w:val="00207283"/>
    <w:rsid w:val="002076C2"/>
    <w:rsid w:val="00207868"/>
    <w:rsid w:val="00207EB1"/>
    <w:rsid w:val="00210412"/>
    <w:rsid w:val="0021096D"/>
    <w:rsid w:val="0021138E"/>
    <w:rsid w:val="0021178D"/>
    <w:rsid w:val="002132C3"/>
    <w:rsid w:val="00213888"/>
    <w:rsid w:val="00213C3E"/>
    <w:rsid w:val="00213C7C"/>
    <w:rsid w:val="00214C62"/>
    <w:rsid w:val="002151D9"/>
    <w:rsid w:val="002158B0"/>
    <w:rsid w:val="0021615A"/>
    <w:rsid w:val="0021677E"/>
    <w:rsid w:val="00216BC6"/>
    <w:rsid w:val="00217AEE"/>
    <w:rsid w:val="00217D2C"/>
    <w:rsid w:val="00221280"/>
    <w:rsid w:val="00221581"/>
    <w:rsid w:val="002216DD"/>
    <w:rsid w:val="00221C7F"/>
    <w:rsid w:val="0022232D"/>
    <w:rsid w:val="00222B5C"/>
    <w:rsid w:val="0022396D"/>
    <w:rsid w:val="00223A32"/>
    <w:rsid w:val="00224AEA"/>
    <w:rsid w:val="00225305"/>
    <w:rsid w:val="0022598C"/>
    <w:rsid w:val="00225BA2"/>
    <w:rsid w:val="00225F7D"/>
    <w:rsid w:val="002260D0"/>
    <w:rsid w:val="002266A5"/>
    <w:rsid w:val="00226B3A"/>
    <w:rsid w:val="00231B6E"/>
    <w:rsid w:val="00231E7D"/>
    <w:rsid w:val="00231F5C"/>
    <w:rsid w:val="0023208E"/>
    <w:rsid w:val="00232AB9"/>
    <w:rsid w:val="00232F1E"/>
    <w:rsid w:val="00233AE4"/>
    <w:rsid w:val="00233DA2"/>
    <w:rsid w:val="00233E50"/>
    <w:rsid w:val="00234C82"/>
    <w:rsid w:val="002351A9"/>
    <w:rsid w:val="00235617"/>
    <w:rsid w:val="00236454"/>
    <w:rsid w:val="002369D9"/>
    <w:rsid w:val="00237042"/>
    <w:rsid w:val="0023766D"/>
    <w:rsid w:val="00237EAD"/>
    <w:rsid w:val="00237F23"/>
    <w:rsid w:val="0024002C"/>
    <w:rsid w:val="002409C8"/>
    <w:rsid w:val="00240D4A"/>
    <w:rsid w:val="0024103C"/>
    <w:rsid w:val="0024137D"/>
    <w:rsid w:val="002418CE"/>
    <w:rsid w:val="00243A47"/>
    <w:rsid w:val="00243BB7"/>
    <w:rsid w:val="00243C6B"/>
    <w:rsid w:val="00245E81"/>
    <w:rsid w:val="00247FAC"/>
    <w:rsid w:val="002507C1"/>
    <w:rsid w:val="0025190B"/>
    <w:rsid w:val="00252E49"/>
    <w:rsid w:val="00253060"/>
    <w:rsid w:val="00253655"/>
    <w:rsid w:val="00253C21"/>
    <w:rsid w:val="00253CF4"/>
    <w:rsid w:val="002541ED"/>
    <w:rsid w:val="00255401"/>
    <w:rsid w:val="00255427"/>
    <w:rsid w:val="00255F11"/>
    <w:rsid w:val="002564F6"/>
    <w:rsid w:val="00256DD4"/>
    <w:rsid w:val="002573F2"/>
    <w:rsid w:val="002577E4"/>
    <w:rsid w:val="00257A4D"/>
    <w:rsid w:val="0026047D"/>
    <w:rsid w:val="002611B5"/>
    <w:rsid w:val="00261C31"/>
    <w:rsid w:val="00261C91"/>
    <w:rsid w:val="002629D6"/>
    <w:rsid w:val="00262CDC"/>
    <w:rsid w:val="00262E18"/>
    <w:rsid w:val="00262EA9"/>
    <w:rsid w:val="002630B2"/>
    <w:rsid w:val="002631B0"/>
    <w:rsid w:val="0026456B"/>
    <w:rsid w:val="0026523C"/>
    <w:rsid w:val="0026558A"/>
    <w:rsid w:val="00265A2F"/>
    <w:rsid w:val="00267246"/>
    <w:rsid w:val="00270780"/>
    <w:rsid w:val="00270A2B"/>
    <w:rsid w:val="00270D7C"/>
    <w:rsid w:val="00270DD2"/>
    <w:rsid w:val="00271DE5"/>
    <w:rsid w:val="0027230F"/>
    <w:rsid w:val="00272DD1"/>
    <w:rsid w:val="00272E88"/>
    <w:rsid w:val="002748E3"/>
    <w:rsid w:val="00274999"/>
    <w:rsid w:val="00274A5B"/>
    <w:rsid w:val="00274E31"/>
    <w:rsid w:val="002754D2"/>
    <w:rsid w:val="0027608E"/>
    <w:rsid w:val="00276626"/>
    <w:rsid w:val="00280B6B"/>
    <w:rsid w:val="00281738"/>
    <w:rsid w:val="00281902"/>
    <w:rsid w:val="00281D0C"/>
    <w:rsid w:val="00282013"/>
    <w:rsid w:val="002820F9"/>
    <w:rsid w:val="00282777"/>
    <w:rsid w:val="00282903"/>
    <w:rsid w:val="002829B6"/>
    <w:rsid w:val="002834FA"/>
    <w:rsid w:val="00283799"/>
    <w:rsid w:val="00283E17"/>
    <w:rsid w:val="00283E21"/>
    <w:rsid w:val="0028476D"/>
    <w:rsid w:val="002850A1"/>
    <w:rsid w:val="0028572E"/>
    <w:rsid w:val="00285BD1"/>
    <w:rsid w:val="00286BA7"/>
    <w:rsid w:val="002879E7"/>
    <w:rsid w:val="0029072B"/>
    <w:rsid w:val="00291865"/>
    <w:rsid w:val="00292299"/>
    <w:rsid w:val="00292640"/>
    <w:rsid w:val="00292A0C"/>
    <w:rsid w:val="00292ECF"/>
    <w:rsid w:val="00294668"/>
    <w:rsid w:val="00294F7E"/>
    <w:rsid w:val="00295477"/>
    <w:rsid w:val="002954BB"/>
    <w:rsid w:val="00295548"/>
    <w:rsid w:val="00295599"/>
    <w:rsid w:val="00295C4E"/>
    <w:rsid w:val="00296470"/>
    <w:rsid w:val="00296C5E"/>
    <w:rsid w:val="002A039F"/>
    <w:rsid w:val="002A116C"/>
    <w:rsid w:val="002A13D9"/>
    <w:rsid w:val="002A1994"/>
    <w:rsid w:val="002A1B5D"/>
    <w:rsid w:val="002A285E"/>
    <w:rsid w:val="002A2B37"/>
    <w:rsid w:val="002A32D3"/>
    <w:rsid w:val="002A3347"/>
    <w:rsid w:val="002A33A8"/>
    <w:rsid w:val="002A3887"/>
    <w:rsid w:val="002A4189"/>
    <w:rsid w:val="002A462B"/>
    <w:rsid w:val="002A4A66"/>
    <w:rsid w:val="002A6382"/>
    <w:rsid w:val="002A655D"/>
    <w:rsid w:val="002A66C3"/>
    <w:rsid w:val="002B0035"/>
    <w:rsid w:val="002B0AD8"/>
    <w:rsid w:val="002B21BB"/>
    <w:rsid w:val="002B246E"/>
    <w:rsid w:val="002B311C"/>
    <w:rsid w:val="002B312F"/>
    <w:rsid w:val="002B440F"/>
    <w:rsid w:val="002B59E7"/>
    <w:rsid w:val="002B6777"/>
    <w:rsid w:val="002B6942"/>
    <w:rsid w:val="002B698F"/>
    <w:rsid w:val="002B6A5E"/>
    <w:rsid w:val="002B71B6"/>
    <w:rsid w:val="002C0E6C"/>
    <w:rsid w:val="002C0E6F"/>
    <w:rsid w:val="002C0F20"/>
    <w:rsid w:val="002C134E"/>
    <w:rsid w:val="002C274C"/>
    <w:rsid w:val="002C31BD"/>
    <w:rsid w:val="002C34D8"/>
    <w:rsid w:val="002C3E3D"/>
    <w:rsid w:val="002C403D"/>
    <w:rsid w:val="002C49E8"/>
    <w:rsid w:val="002C4B3F"/>
    <w:rsid w:val="002C4CDE"/>
    <w:rsid w:val="002C4FE6"/>
    <w:rsid w:val="002C550B"/>
    <w:rsid w:val="002C5889"/>
    <w:rsid w:val="002C58B8"/>
    <w:rsid w:val="002C5D7D"/>
    <w:rsid w:val="002C6119"/>
    <w:rsid w:val="002C6E1B"/>
    <w:rsid w:val="002C6E21"/>
    <w:rsid w:val="002C76AC"/>
    <w:rsid w:val="002C7C62"/>
    <w:rsid w:val="002C7DEC"/>
    <w:rsid w:val="002D0370"/>
    <w:rsid w:val="002D074C"/>
    <w:rsid w:val="002D0A14"/>
    <w:rsid w:val="002D14CB"/>
    <w:rsid w:val="002D159C"/>
    <w:rsid w:val="002D1FD4"/>
    <w:rsid w:val="002D21EC"/>
    <w:rsid w:val="002D24A2"/>
    <w:rsid w:val="002D24AF"/>
    <w:rsid w:val="002D25F8"/>
    <w:rsid w:val="002D2A86"/>
    <w:rsid w:val="002D2C6F"/>
    <w:rsid w:val="002D3E5C"/>
    <w:rsid w:val="002D41E2"/>
    <w:rsid w:val="002D51DE"/>
    <w:rsid w:val="002D5933"/>
    <w:rsid w:val="002D5D51"/>
    <w:rsid w:val="002D5FAE"/>
    <w:rsid w:val="002D7296"/>
    <w:rsid w:val="002D7660"/>
    <w:rsid w:val="002D7D50"/>
    <w:rsid w:val="002E04C6"/>
    <w:rsid w:val="002E1680"/>
    <w:rsid w:val="002E1C06"/>
    <w:rsid w:val="002E2654"/>
    <w:rsid w:val="002E29E3"/>
    <w:rsid w:val="002E2E5B"/>
    <w:rsid w:val="002E36DA"/>
    <w:rsid w:val="002E4741"/>
    <w:rsid w:val="002E4AB3"/>
    <w:rsid w:val="002E4D71"/>
    <w:rsid w:val="002E4D7C"/>
    <w:rsid w:val="002E4E2A"/>
    <w:rsid w:val="002E5059"/>
    <w:rsid w:val="002E57D4"/>
    <w:rsid w:val="002E6970"/>
    <w:rsid w:val="002E6C5F"/>
    <w:rsid w:val="002E6FCE"/>
    <w:rsid w:val="002E77B4"/>
    <w:rsid w:val="002E78A1"/>
    <w:rsid w:val="002E7D95"/>
    <w:rsid w:val="002F0684"/>
    <w:rsid w:val="002F1527"/>
    <w:rsid w:val="002F20EB"/>
    <w:rsid w:val="002F283A"/>
    <w:rsid w:val="002F3076"/>
    <w:rsid w:val="002F35ED"/>
    <w:rsid w:val="002F366E"/>
    <w:rsid w:val="002F40C2"/>
    <w:rsid w:val="002F41A6"/>
    <w:rsid w:val="002F4803"/>
    <w:rsid w:val="002F4D67"/>
    <w:rsid w:val="002F64F2"/>
    <w:rsid w:val="00301469"/>
    <w:rsid w:val="003014C1"/>
    <w:rsid w:val="0030165A"/>
    <w:rsid w:val="00302313"/>
    <w:rsid w:val="0030270F"/>
    <w:rsid w:val="003029A1"/>
    <w:rsid w:val="00303362"/>
    <w:rsid w:val="003037DD"/>
    <w:rsid w:val="00303DB6"/>
    <w:rsid w:val="003043F9"/>
    <w:rsid w:val="003044C0"/>
    <w:rsid w:val="00304F54"/>
    <w:rsid w:val="00305936"/>
    <w:rsid w:val="003062F8"/>
    <w:rsid w:val="0030654C"/>
    <w:rsid w:val="00306576"/>
    <w:rsid w:val="00306844"/>
    <w:rsid w:val="00307056"/>
    <w:rsid w:val="003074F8"/>
    <w:rsid w:val="00307778"/>
    <w:rsid w:val="00307DDB"/>
    <w:rsid w:val="00310DE7"/>
    <w:rsid w:val="00310FB3"/>
    <w:rsid w:val="00311067"/>
    <w:rsid w:val="003112D2"/>
    <w:rsid w:val="00311A49"/>
    <w:rsid w:val="003128C7"/>
    <w:rsid w:val="00312966"/>
    <w:rsid w:val="0031341C"/>
    <w:rsid w:val="00314883"/>
    <w:rsid w:val="00314BE4"/>
    <w:rsid w:val="003154BA"/>
    <w:rsid w:val="00315AF3"/>
    <w:rsid w:val="00315D89"/>
    <w:rsid w:val="00316058"/>
    <w:rsid w:val="00317955"/>
    <w:rsid w:val="003200A7"/>
    <w:rsid w:val="003220F8"/>
    <w:rsid w:val="00322523"/>
    <w:rsid w:val="0032292D"/>
    <w:rsid w:val="00322FAE"/>
    <w:rsid w:val="0032343E"/>
    <w:rsid w:val="00323569"/>
    <w:rsid w:val="003237D7"/>
    <w:rsid w:val="00324CA6"/>
    <w:rsid w:val="00324FEE"/>
    <w:rsid w:val="0032519E"/>
    <w:rsid w:val="0032529B"/>
    <w:rsid w:val="00326B00"/>
    <w:rsid w:val="003277BB"/>
    <w:rsid w:val="00330490"/>
    <w:rsid w:val="00330ADB"/>
    <w:rsid w:val="00331044"/>
    <w:rsid w:val="00331701"/>
    <w:rsid w:val="00332411"/>
    <w:rsid w:val="00332547"/>
    <w:rsid w:val="003327EF"/>
    <w:rsid w:val="00333646"/>
    <w:rsid w:val="00334B27"/>
    <w:rsid w:val="00335043"/>
    <w:rsid w:val="003375A1"/>
    <w:rsid w:val="00337DA5"/>
    <w:rsid w:val="00337EE2"/>
    <w:rsid w:val="00340D99"/>
    <w:rsid w:val="003419E7"/>
    <w:rsid w:val="0034235E"/>
    <w:rsid w:val="00342908"/>
    <w:rsid w:val="00343166"/>
    <w:rsid w:val="00343AAE"/>
    <w:rsid w:val="003440DD"/>
    <w:rsid w:val="00345AAF"/>
    <w:rsid w:val="00346B02"/>
    <w:rsid w:val="00346F7E"/>
    <w:rsid w:val="00347ABC"/>
    <w:rsid w:val="0035047D"/>
    <w:rsid w:val="0035178D"/>
    <w:rsid w:val="00351B8C"/>
    <w:rsid w:val="003521B5"/>
    <w:rsid w:val="003523C3"/>
    <w:rsid w:val="00352594"/>
    <w:rsid w:val="0035299C"/>
    <w:rsid w:val="00353618"/>
    <w:rsid w:val="0035415C"/>
    <w:rsid w:val="0035466C"/>
    <w:rsid w:val="00354C52"/>
    <w:rsid w:val="003568C8"/>
    <w:rsid w:val="003571B3"/>
    <w:rsid w:val="003579DA"/>
    <w:rsid w:val="0036008B"/>
    <w:rsid w:val="00360127"/>
    <w:rsid w:val="00360596"/>
    <w:rsid w:val="00361385"/>
    <w:rsid w:val="00361750"/>
    <w:rsid w:val="00361777"/>
    <w:rsid w:val="00363B89"/>
    <w:rsid w:val="00363F4E"/>
    <w:rsid w:val="00363FE6"/>
    <w:rsid w:val="00365D98"/>
    <w:rsid w:val="00366467"/>
    <w:rsid w:val="00366881"/>
    <w:rsid w:val="00366A0D"/>
    <w:rsid w:val="0036705F"/>
    <w:rsid w:val="00367615"/>
    <w:rsid w:val="00367C39"/>
    <w:rsid w:val="00370695"/>
    <w:rsid w:val="00370E51"/>
    <w:rsid w:val="0037126C"/>
    <w:rsid w:val="0037177F"/>
    <w:rsid w:val="00371B3E"/>
    <w:rsid w:val="00371BDC"/>
    <w:rsid w:val="00371BE8"/>
    <w:rsid w:val="00371E0A"/>
    <w:rsid w:val="00371F72"/>
    <w:rsid w:val="00372159"/>
    <w:rsid w:val="00372625"/>
    <w:rsid w:val="00372641"/>
    <w:rsid w:val="00372FA1"/>
    <w:rsid w:val="003732F5"/>
    <w:rsid w:val="00373380"/>
    <w:rsid w:val="00373635"/>
    <w:rsid w:val="00374399"/>
    <w:rsid w:val="003757A1"/>
    <w:rsid w:val="00375811"/>
    <w:rsid w:val="00375D43"/>
    <w:rsid w:val="00376C62"/>
    <w:rsid w:val="00377218"/>
    <w:rsid w:val="003774B2"/>
    <w:rsid w:val="00380864"/>
    <w:rsid w:val="00380967"/>
    <w:rsid w:val="00380CDD"/>
    <w:rsid w:val="00381223"/>
    <w:rsid w:val="0038161C"/>
    <w:rsid w:val="00382150"/>
    <w:rsid w:val="0038280B"/>
    <w:rsid w:val="0038444C"/>
    <w:rsid w:val="003844D0"/>
    <w:rsid w:val="00384B67"/>
    <w:rsid w:val="00384CAA"/>
    <w:rsid w:val="00385561"/>
    <w:rsid w:val="00385D10"/>
    <w:rsid w:val="00385E46"/>
    <w:rsid w:val="00385E98"/>
    <w:rsid w:val="00386EF4"/>
    <w:rsid w:val="00391BC2"/>
    <w:rsid w:val="00391F47"/>
    <w:rsid w:val="003931DB"/>
    <w:rsid w:val="003945DE"/>
    <w:rsid w:val="0039500C"/>
    <w:rsid w:val="00395481"/>
    <w:rsid w:val="00395495"/>
    <w:rsid w:val="0039550B"/>
    <w:rsid w:val="00395D1B"/>
    <w:rsid w:val="0039691B"/>
    <w:rsid w:val="003979DF"/>
    <w:rsid w:val="00397E27"/>
    <w:rsid w:val="003A0914"/>
    <w:rsid w:val="003A0A6E"/>
    <w:rsid w:val="003A1894"/>
    <w:rsid w:val="003A1E41"/>
    <w:rsid w:val="003A2898"/>
    <w:rsid w:val="003A2F63"/>
    <w:rsid w:val="003A396F"/>
    <w:rsid w:val="003A3A5E"/>
    <w:rsid w:val="003A3ADC"/>
    <w:rsid w:val="003A4135"/>
    <w:rsid w:val="003A46FE"/>
    <w:rsid w:val="003A4E19"/>
    <w:rsid w:val="003A62DB"/>
    <w:rsid w:val="003A6567"/>
    <w:rsid w:val="003A6BBE"/>
    <w:rsid w:val="003A6BF3"/>
    <w:rsid w:val="003A6D58"/>
    <w:rsid w:val="003A7845"/>
    <w:rsid w:val="003B0167"/>
    <w:rsid w:val="003B131C"/>
    <w:rsid w:val="003B171F"/>
    <w:rsid w:val="003B1F63"/>
    <w:rsid w:val="003B326D"/>
    <w:rsid w:val="003B32CB"/>
    <w:rsid w:val="003B33BA"/>
    <w:rsid w:val="003B3764"/>
    <w:rsid w:val="003B3E27"/>
    <w:rsid w:val="003B4740"/>
    <w:rsid w:val="003B4B9D"/>
    <w:rsid w:val="003B6D3B"/>
    <w:rsid w:val="003B7679"/>
    <w:rsid w:val="003C03C1"/>
    <w:rsid w:val="003C26E9"/>
    <w:rsid w:val="003C35EC"/>
    <w:rsid w:val="003C36E8"/>
    <w:rsid w:val="003C47CE"/>
    <w:rsid w:val="003C52A6"/>
    <w:rsid w:val="003C5611"/>
    <w:rsid w:val="003C58FE"/>
    <w:rsid w:val="003C59B1"/>
    <w:rsid w:val="003C602C"/>
    <w:rsid w:val="003D007A"/>
    <w:rsid w:val="003D1923"/>
    <w:rsid w:val="003D1A74"/>
    <w:rsid w:val="003D2281"/>
    <w:rsid w:val="003D292C"/>
    <w:rsid w:val="003D331A"/>
    <w:rsid w:val="003D33AC"/>
    <w:rsid w:val="003D40E4"/>
    <w:rsid w:val="003D4B37"/>
    <w:rsid w:val="003D5290"/>
    <w:rsid w:val="003D5A6D"/>
    <w:rsid w:val="003D5B33"/>
    <w:rsid w:val="003D5B81"/>
    <w:rsid w:val="003E0CEE"/>
    <w:rsid w:val="003E220B"/>
    <w:rsid w:val="003E3261"/>
    <w:rsid w:val="003E397E"/>
    <w:rsid w:val="003E3B2B"/>
    <w:rsid w:val="003E3E0C"/>
    <w:rsid w:val="003E3FC8"/>
    <w:rsid w:val="003E4E6A"/>
    <w:rsid w:val="003E52F1"/>
    <w:rsid w:val="003E5792"/>
    <w:rsid w:val="003E6C3B"/>
    <w:rsid w:val="003E7C78"/>
    <w:rsid w:val="003F23D1"/>
    <w:rsid w:val="003F2D8D"/>
    <w:rsid w:val="003F36CB"/>
    <w:rsid w:val="003F37DE"/>
    <w:rsid w:val="003F3B7E"/>
    <w:rsid w:val="003F3D1F"/>
    <w:rsid w:val="003F3F36"/>
    <w:rsid w:val="003F45F2"/>
    <w:rsid w:val="003F470A"/>
    <w:rsid w:val="003F5004"/>
    <w:rsid w:val="003F573A"/>
    <w:rsid w:val="003F61F8"/>
    <w:rsid w:val="003F6C21"/>
    <w:rsid w:val="003F7C42"/>
    <w:rsid w:val="00400884"/>
    <w:rsid w:val="00400A6E"/>
    <w:rsid w:val="00401382"/>
    <w:rsid w:val="004019E6"/>
    <w:rsid w:val="00401AE2"/>
    <w:rsid w:val="00401EA8"/>
    <w:rsid w:val="0040295A"/>
    <w:rsid w:val="00402C02"/>
    <w:rsid w:val="0040309C"/>
    <w:rsid w:val="004031BB"/>
    <w:rsid w:val="00403BFD"/>
    <w:rsid w:val="00404158"/>
    <w:rsid w:val="00404189"/>
    <w:rsid w:val="0040489A"/>
    <w:rsid w:val="0040557E"/>
    <w:rsid w:val="004056FA"/>
    <w:rsid w:val="00405AAB"/>
    <w:rsid w:val="00405D48"/>
    <w:rsid w:val="00405E34"/>
    <w:rsid w:val="00406584"/>
    <w:rsid w:val="00407B09"/>
    <w:rsid w:val="00410DE8"/>
    <w:rsid w:val="00411261"/>
    <w:rsid w:val="00411677"/>
    <w:rsid w:val="00411869"/>
    <w:rsid w:val="004119D4"/>
    <w:rsid w:val="00411CC2"/>
    <w:rsid w:val="0041204D"/>
    <w:rsid w:val="004122FB"/>
    <w:rsid w:val="00412E2B"/>
    <w:rsid w:val="004130F5"/>
    <w:rsid w:val="00413603"/>
    <w:rsid w:val="004139B4"/>
    <w:rsid w:val="00414202"/>
    <w:rsid w:val="004142BB"/>
    <w:rsid w:val="004156F7"/>
    <w:rsid w:val="00415851"/>
    <w:rsid w:val="0041597A"/>
    <w:rsid w:val="00416548"/>
    <w:rsid w:val="004169EB"/>
    <w:rsid w:val="0041758E"/>
    <w:rsid w:val="004200F8"/>
    <w:rsid w:val="00420384"/>
    <w:rsid w:val="00420652"/>
    <w:rsid w:val="00421122"/>
    <w:rsid w:val="004212B0"/>
    <w:rsid w:val="00421F4F"/>
    <w:rsid w:val="00422D17"/>
    <w:rsid w:val="00422E2D"/>
    <w:rsid w:val="004243B3"/>
    <w:rsid w:val="00425467"/>
    <w:rsid w:val="00426A6F"/>
    <w:rsid w:val="00426C55"/>
    <w:rsid w:val="00426F27"/>
    <w:rsid w:val="00427207"/>
    <w:rsid w:val="00427518"/>
    <w:rsid w:val="00427D31"/>
    <w:rsid w:val="00430248"/>
    <w:rsid w:val="00430A46"/>
    <w:rsid w:val="00432F27"/>
    <w:rsid w:val="004339F8"/>
    <w:rsid w:val="00433E45"/>
    <w:rsid w:val="00435344"/>
    <w:rsid w:val="00435CF4"/>
    <w:rsid w:val="004361D6"/>
    <w:rsid w:val="00436B08"/>
    <w:rsid w:val="00440D24"/>
    <w:rsid w:val="00440F48"/>
    <w:rsid w:val="004415D3"/>
    <w:rsid w:val="00441EF1"/>
    <w:rsid w:val="00442CFE"/>
    <w:rsid w:val="00442E48"/>
    <w:rsid w:val="0044309B"/>
    <w:rsid w:val="00445679"/>
    <w:rsid w:val="00445A9A"/>
    <w:rsid w:val="00445D78"/>
    <w:rsid w:val="0044637E"/>
    <w:rsid w:val="00446DE2"/>
    <w:rsid w:val="00446DFB"/>
    <w:rsid w:val="00446E2F"/>
    <w:rsid w:val="00446FE1"/>
    <w:rsid w:val="0045025E"/>
    <w:rsid w:val="004516C7"/>
    <w:rsid w:val="0045192B"/>
    <w:rsid w:val="00451CF6"/>
    <w:rsid w:val="00452374"/>
    <w:rsid w:val="00452CF7"/>
    <w:rsid w:val="0045370E"/>
    <w:rsid w:val="00453F49"/>
    <w:rsid w:val="00456078"/>
    <w:rsid w:val="004565A1"/>
    <w:rsid w:val="0045752F"/>
    <w:rsid w:val="0045788B"/>
    <w:rsid w:val="00461812"/>
    <w:rsid w:val="00462286"/>
    <w:rsid w:val="00463EB8"/>
    <w:rsid w:val="0046431C"/>
    <w:rsid w:val="00464C5D"/>
    <w:rsid w:val="00465E9B"/>
    <w:rsid w:val="00466783"/>
    <w:rsid w:val="00466CFB"/>
    <w:rsid w:val="00466E90"/>
    <w:rsid w:val="004671BA"/>
    <w:rsid w:val="004677D1"/>
    <w:rsid w:val="00470DDD"/>
    <w:rsid w:val="00471AA1"/>
    <w:rsid w:val="00472193"/>
    <w:rsid w:val="00472774"/>
    <w:rsid w:val="00472E40"/>
    <w:rsid w:val="004739A9"/>
    <w:rsid w:val="0047468A"/>
    <w:rsid w:val="00475AE0"/>
    <w:rsid w:val="00475C1D"/>
    <w:rsid w:val="0047708B"/>
    <w:rsid w:val="004801AF"/>
    <w:rsid w:val="004805BD"/>
    <w:rsid w:val="004807C0"/>
    <w:rsid w:val="00480A0C"/>
    <w:rsid w:val="00480B9D"/>
    <w:rsid w:val="00480C41"/>
    <w:rsid w:val="004817BF"/>
    <w:rsid w:val="00482354"/>
    <w:rsid w:val="004830E3"/>
    <w:rsid w:val="004832C6"/>
    <w:rsid w:val="00483A36"/>
    <w:rsid w:val="0048434E"/>
    <w:rsid w:val="0048459C"/>
    <w:rsid w:val="004845DB"/>
    <w:rsid w:val="004855CC"/>
    <w:rsid w:val="00485929"/>
    <w:rsid w:val="00485CF5"/>
    <w:rsid w:val="00485ED2"/>
    <w:rsid w:val="004864F5"/>
    <w:rsid w:val="00486D91"/>
    <w:rsid w:val="004871D1"/>
    <w:rsid w:val="0049019F"/>
    <w:rsid w:val="00490F3F"/>
    <w:rsid w:val="00491176"/>
    <w:rsid w:val="004918CF"/>
    <w:rsid w:val="00491D29"/>
    <w:rsid w:val="00492179"/>
    <w:rsid w:val="004924E9"/>
    <w:rsid w:val="00493705"/>
    <w:rsid w:val="00493FCA"/>
    <w:rsid w:val="004941BB"/>
    <w:rsid w:val="00494ADE"/>
    <w:rsid w:val="00494FFE"/>
    <w:rsid w:val="00496923"/>
    <w:rsid w:val="00496E94"/>
    <w:rsid w:val="004976F9"/>
    <w:rsid w:val="004979E4"/>
    <w:rsid w:val="004A00EF"/>
    <w:rsid w:val="004A1685"/>
    <w:rsid w:val="004A1816"/>
    <w:rsid w:val="004A193E"/>
    <w:rsid w:val="004A1EE2"/>
    <w:rsid w:val="004A2A76"/>
    <w:rsid w:val="004A39B7"/>
    <w:rsid w:val="004A476F"/>
    <w:rsid w:val="004A588F"/>
    <w:rsid w:val="004A5E09"/>
    <w:rsid w:val="004A649F"/>
    <w:rsid w:val="004A6703"/>
    <w:rsid w:val="004A6D5A"/>
    <w:rsid w:val="004A7158"/>
    <w:rsid w:val="004A7294"/>
    <w:rsid w:val="004B23E8"/>
    <w:rsid w:val="004B2FDE"/>
    <w:rsid w:val="004B4478"/>
    <w:rsid w:val="004B4B34"/>
    <w:rsid w:val="004B557B"/>
    <w:rsid w:val="004B5C16"/>
    <w:rsid w:val="004B665D"/>
    <w:rsid w:val="004B6BFA"/>
    <w:rsid w:val="004B6F95"/>
    <w:rsid w:val="004C0DCC"/>
    <w:rsid w:val="004C1F02"/>
    <w:rsid w:val="004C2B42"/>
    <w:rsid w:val="004C2D9F"/>
    <w:rsid w:val="004C365B"/>
    <w:rsid w:val="004C3ACC"/>
    <w:rsid w:val="004C46D2"/>
    <w:rsid w:val="004C4950"/>
    <w:rsid w:val="004C4ED6"/>
    <w:rsid w:val="004C4F02"/>
    <w:rsid w:val="004C57EE"/>
    <w:rsid w:val="004C60C5"/>
    <w:rsid w:val="004C6547"/>
    <w:rsid w:val="004C6AE6"/>
    <w:rsid w:val="004C770B"/>
    <w:rsid w:val="004C7D7C"/>
    <w:rsid w:val="004D00E8"/>
    <w:rsid w:val="004D0545"/>
    <w:rsid w:val="004D0801"/>
    <w:rsid w:val="004D1125"/>
    <w:rsid w:val="004D12FA"/>
    <w:rsid w:val="004D1475"/>
    <w:rsid w:val="004D14E5"/>
    <w:rsid w:val="004D1AC9"/>
    <w:rsid w:val="004D1EB1"/>
    <w:rsid w:val="004D3251"/>
    <w:rsid w:val="004D6424"/>
    <w:rsid w:val="004D710F"/>
    <w:rsid w:val="004E08C6"/>
    <w:rsid w:val="004E0B38"/>
    <w:rsid w:val="004E0E7C"/>
    <w:rsid w:val="004E1026"/>
    <w:rsid w:val="004E1CEE"/>
    <w:rsid w:val="004E2717"/>
    <w:rsid w:val="004E3694"/>
    <w:rsid w:val="004E36AC"/>
    <w:rsid w:val="004E3AA3"/>
    <w:rsid w:val="004E3B37"/>
    <w:rsid w:val="004E3B74"/>
    <w:rsid w:val="004E4471"/>
    <w:rsid w:val="004E4B8A"/>
    <w:rsid w:val="004E4BB5"/>
    <w:rsid w:val="004E643B"/>
    <w:rsid w:val="004E70AC"/>
    <w:rsid w:val="004F06B6"/>
    <w:rsid w:val="004F0988"/>
    <w:rsid w:val="004F2150"/>
    <w:rsid w:val="004F2161"/>
    <w:rsid w:val="004F21A6"/>
    <w:rsid w:val="004F300C"/>
    <w:rsid w:val="004F3240"/>
    <w:rsid w:val="004F3B79"/>
    <w:rsid w:val="004F3D40"/>
    <w:rsid w:val="004F4143"/>
    <w:rsid w:val="004F5A02"/>
    <w:rsid w:val="004F6154"/>
    <w:rsid w:val="004F62A7"/>
    <w:rsid w:val="004F67F9"/>
    <w:rsid w:val="004F69FC"/>
    <w:rsid w:val="004F6C1B"/>
    <w:rsid w:val="004F757C"/>
    <w:rsid w:val="004F75DD"/>
    <w:rsid w:val="004F77F1"/>
    <w:rsid w:val="00500A4F"/>
    <w:rsid w:val="00500C09"/>
    <w:rsid w:val="00500E6D"/>
    <w:rsid w:val="005021D0"/>
    <w:rsid w:val="00502519"/>
    <w:rsid w:val="00502AE8"/>
    <w:rsid w:val="00503673"/>
    <w:rsid w:val="00504042"/>
    <w:rsid w:val="00505C6D"/>
    <w:rsid w:val="0050620B"/>
    <w:rsid w:val="0050628D"/>
    <w:rsid w:val="005071D3"/>
    <w:rsid w:val="0050763A"/>
    <w:rsid w:val="0051041C"/>
    <w:rsid w:val="005104AE"/>
    <w:rsid w:val="00510812"/>
    <w:rsid w:val="00510D18"/>
    <w:rsid w:val="00511034"/>
    <w:rsid w:val="00512D34"/>
    <w:rsid w:val="00513101"/>
    <w:rsid w:val="00513652"/>
    <w:rsid w:val="00515CA0"/>
    <w:rsid w:val="005166F4"/>
    <w:rsid w:val="005170CA"/>
    <w:rsid w:val="005172F2"/>
    <w:rsid w:val="00517AC9"/>
    <w:rsid w:val="00517D77"/>
    <w:rsid w:val="00517FD9"/>
    <w:rsid w:val="00520094"/>
    <w:rsid w:val="00520A85"/>
    <w:rsid w:val="00520BEC"/>
    <w:rsid w:val="00521719"/>
    <w:rsid w:val="005220D8"/>
    <w:rsid w:val="005223F9"/>
    <w:rsid w:val="005232CE"/>
    <w:rsid w:val="00525AC0"/>
    <w:rsid w:val="00526346"/>
    <w:rsid w:val="005272C7"/>
    <w:rsid w:val="0052732B"/>
    <w:rsid w:val="00527427"/>
    <w:rsid w:val="00527769"/>
    <w:rsid w:val="00527965"/>
    <w:rsid w:val="00527BA4"/>
    <w:rsid w:val="0053020F"/>
    <w:rsid w:val="00530E40"/>
    <w:rsid w:val="00532829"/>
    <w:rsid w:val="00532F66"/>
    <w:rsid w:val="00532F86"/>
    <w:rsid w:val="005337B3"/>
    <w:rsid w:val="00534837"/>
    <w:rsid w:val="00534CBE"/>
    <w:rsid w:val="00535B9E"/>
    <w:rsid w:val="00535EDA"/>
    <w:rsid w:val="0053731E"/>
    <w:rsid w:val="00537C58"/>
    <w:rsid w:val="0054017C"/>
    <w:rsid w:val="00540222"/>
    <w:rsid w:val="00541578"/>
    <w:rsid w:val="00543068"/>
    <w:rsid w:val="0054353D"/>
    <w:rsid w:val="00543A79"/>
    <w:rsid w:val="0054438D"/>
    <w:rsid w:val="005445BF"/>
    <w:rsid w:val="00544AC4"/>
    <w:rsid w:val="0054533D"/>
    <w:rsid w:val="00545CD7"/>
    <w:rsid w:val="00545CF2"/>
    <w:rsid w:val="0054678B"/>
    <w:rsid w:val="0055084D"/>
    <w:rsid w:val="0055129A"/>
    <w:rsid w:val="00551EAE"/>
    <w:rsid w:val="00551FE4"/>
    <w:rsid w:val="00552485"/>
    <w:rsid w:val="00553666"/>
    <w:rsid w:val="00553A0C"/>
    <w:rsid w:val="00553B70"/>
    <w:rsid w:val="005545C3"/>
    <w:rsid w:val="00555159"/>
    <w:rsid w:val="0055541F"/>
    <w:rsid w:val="00555C3B"/>
    <w:rsid w:val="005561CD"/>
    <w:rsid w:val="005564CA"/>
    <w:rsid w:val="00556B28"/>
    <w:rsid w:val="00556DC5"/>
    <w:rsid w:val="00556E4D"/>
    <w:rsid w:val="00557642"/>
    <w:rsid w:val="00557A5D"/>
    <w:rsid w:val="00557A68"/>
    <w:rsid w:val="00557EAA"/>
    <w:rsid w:val="0056032F"/>
    <w:rsid w:val="00560D0B"/>
    <w:rsid w:val="0056153A"/>
    <w:rsid w:val="00561582"/>
    <w:rsid w:val="00561E28"/>
    <w:rsid w:val="00562D52"/>
    <w:rsid w:val="00562EC5"/>
    <w:rsid w:val="00562EE8"/>
    <w:rsid w:val="005633B7"/>
    <w:rsid w:val="005635D1"/>
    <w:rsid w:val="00563C73"/>
    <w:rsid w:val="00564472"/>
    <w:rsid w:val="00564A57"/>
    <w:rsid w:val="00566D67"/>
    <w:rsid w:val="005675EB"/>
    <w:rsid w:val="00567DD1"/>
    <w:rsid w:val="0057006A"/>
    <w:rsid w:val="00570A97"/>
    <w:rsid w:val="00571200"/>
    <w:rsid w:val="00571FD6"/>
    <w:rsid w:val="00572254"/>
    <w:rsid w:val="005727E7"/>
    <w:rsid w:val="00573862"/>
    <w:rsid w:val="00573C7E"/>
    <w:rsid w:val="00574E32"/>
    <w:rsid w:val="00575A0E"/>
    <w:rsid w:val="00576112"/>
    <w:rsid w:val="00576E61"/>
    <w:rsid w:val="00577FC3"/>
    <w:rsid w:val="005805B6"/>
    <w:rsid w:val="00582470"/>
    <w:rsid w:val="00582756"/>
    <w:rsid w:val="00582DC3"/>
    <w:rsid w:val="005830D5"/>
    <w:rsid w:val="0058331B"/>
    <w:rsid w:val="00583689"/>
    <w:rsid w:val="00583C2C"/>
    <w:rsid w:val="0058482F"/>
    <w:rsid w:val="00584D0A"/>
    <w:rsid w:val="00585682"/>
    <w:rsid w:val="005859E3"/>
    <w:rsid w:val="00586797"/>
    <w:rsid w:val="00587975"/>
    <w:rsid w:val="00587A82"/>
    <w:rsid w:val="00590BB8"/>
    <w:rsid w:val="0059126D"/>
    <w:rsid w:val="00592CF9"/>
    <w:rsid w:val="005942B6"/>
    <w:rsid w:val="00594A2D"/>
    <w:rsid w:val="005958B5"/>
    <w:rsid w:val="00595C60"/>
    <w:rsid w:val="00596290"/>
    <w:rsid w:val="0059708D"/>
    <w:rsid w:val="0059748B"/>
    <w:rsid w:val="005A0DD7"/>
    <w:rsid w:val="005A1114"/>
    <w:rsid w:val="005A190B"/>
    <w:rsid w:val="005A2134"/>
    <w:rsid w:val="005A3246"/>
    <w:rsid w:val="005A3313"/>
    <w:rsid w:val="005A3717"/>
    <w:rsid w:val="005A44F2"/>
    <w:rsid w:val="005A4607"/>
    <w:rsid w:val="005A4A36"/>
    <w:rsid w:val="005A531D"/>
    <w:rsid w:val="005A581D"/>
    <w:rsid w:val="005A58F8"/>
    <w:rsid w:val="005A61A3"/>
    <w:rsid w:val="005A631E"/>
    <w:rsid w:val="005A67E1"/>
    <w:rsid w:val="005A735E"/>
    <w:rsid w:val="005B0DAA"/>
    <w:rsid w:val="005B108E"/>
    <w:rsid w:val="005B16A5"/>
    <w:rsid w:val="005B17D9"/>
    <w:rsid w:val="005B1891"/>
    <w:rsid w:val="005B1F0A"/>
    <w:rsid w:val="005B2852"/>
    <w:rsid w:val="005B3716"/>
    <w:rsid w:val="005B3835"/>
    <w:rsid w:val="005B3EC8"/>
    <w:rsid w:val="005B411F"/>
    <w:rsid w:val="005B4516"/>
    <w:rsid w:val="005B5872"/>
    <w:rsid w:val="005B5A85"/>
    <w:rsid w:val="005B72C3"/>
    <w:rsid w:val="005B7FD3"/>
    <w:rsid w:val="005C00C5"/>
    <w:rsid w:val="005C06C2"/>
    <w:rsid w:val="005C331D"/>
    <w:rsid w:val="005C3B1F"/>
    <w:rsid w:val="005C3BF4"/>
    <w:rsid w:val="005C3F4B"/>
    <w:rsid w:val="005C44AD"/>
    <w:rsid w:val="005C4C2C"/>
    <w:rsid w:val="005C5F93"/>
    <w:rsid w:val="005C633A"/>
    <w:rsid w:val="005C659E"/>
    <w:rsid w:val="005C67D2"/>
    <w:rsid w:val="005C73EF"/>
    <w:rsid w:val="005C7D3B"/>
    <w:rsid w:val="005CCB72"/>
    <w:rsid w:val="005D006D"/>
    <w:rsid w:val="005D06D9"/>
    <w:rsid w:val="005D0743"/>
    <w:rsid w:val="005D0E85"/>
    <w:rsid w:val="005D217A"/>
    <w:rsid w:val="005D2BF0"/>
    <w:rsid w:val="005D4052"/>
    <w:rsid w:val="005D452A"/>
    <w:rsid w:val="005D6237"/>
    <w:rsid w:val="005D6658"/>
    <w:rsid w:val="005D679F"/>
    <w:rsid w:val="005D6E18"/>
    <w:rsid w:val="005D6E96"/>
    <w:rsid w:val="005D7153"/>
    <w:rsid w:val="005D7AF5"/>
    <w:rsid w:val="005E040C"/>
    <w:rsid w:val="005E046F"/>
    <w:rsid w:val="005E11CB"/>
    <w:rsid w:val="005E166F"/>
    <w:rsid w:val="005E1896"/>
    <w:rsid w:val="005E1AB0"/>
    <w:rsid w:val="005E1ADF"/>
    <w:rsid w:val="005E1D64"/>
    <w:rsid w:val="005E2DF5"/>
    <w:rsid w:val="005E3EAC"/>
    <w:rsid w:val="005E4053"/>
    <w:rsid w:val="005E498E"/>
    <w:rsid w:val="005E4A22"/>
    <w:rsid w:val="005E4E3A"/>
    <w:rsid w:val="005E6208"/>
    <w:rsid w:val="005E6385"/>
    <w:rsid w:val="005E6DCB"/>
    <w:rsid w:val="005E708F"/>
    <w:rsid w:val="005E7BAE"/>
    <w:rsid w:val="005E7C0C"/>
    <w:rsid w:val="005F03E8"/>
    <w:rsid w:val="005F0753"/>
    <w:rsid w:val="005F1173"/>
    <w:rsid w:val="005F119B"/>
    <w:rsid w:val="005F196C"/>
    <w:rsid w:val="005F2501"/>
    <w:rsid w:val="005F29F8"/>
    <w:rsid w:val="005F33A3"/>
    <w:rsid w:val="005F39E0"/>
    <w:rsid w:val="005F402F"/>
    <w:rsid w:val="005F4EF5"/>
    <w:rsid w:val="005F5286"/>
    <w:rsid w:val="005F6AC1"/>
    <w:rsid w:val="005F6F02"/>
    <w:rsid w:val="005F7274"/>
    <w:rsid w:val="005F7343"/>
    <w:rsid w:val="005F76D3"/>
    <w:rsid w:val="005F7ECD"/>
    <w:rsid w:val="00601821"/>
    <w:rsid w:val="0060192A"/>
    <w:rsid w:val="00601A18"/>
    <w:rsid w:val="00603324"/>
    <w:rsid w:val="006039B2"/>
    <w:rsid w:val="00603D2F"/>
    <w:rsid w:val="00603DC7"/>
    <w:rsid w:val="00605968"/>
    <w:rsid w:val="0061278B"/>
    <w:rsid w:val="00613196"/>
    <w:rsid w:val="006148D6"/>
    <w:rsid w:val="006150D4"/>
    <w:rsid w:val="006151A5"/>
    <w:rsid w:val="0061548B"/>
    <w:rsid w:val="0061581A"/>
    <w:rsid w:val="0061632F"/>
    <w:rsid w:val="00616370"/>
    <w:rsid w:val="0061765B"/>
    <w:rsid w:val="0062019E"/>
    <w:rsid w:val="00621F6F"/>
    <w:rsid w:val="006228E8"/>
    <w:rsid w:val="00623047"/>
    <w:rsid w:val="00623111"/>
    <w:rsid w:val="006234F4"/>
    <w:rsid w:val="0062379C"/>
    <w:rsid w:val="00623EC1"/>
    <w:rsid w:val="00625381"/>
    <w:rsid w:val="00625F80"/>
    <w:rsid w:val="006260AE"/>
    <w:rsid w:val="006267F0"/>
    <w:rsid w:val="00627E0D"/>
    <w:rsid w:val="00630EA4"/>
    <w:rsid w:val="0063189F"/>
    <w:rsid w:val="006325F9"/>
    <w:rsid w:val="00632F66"/>
    <w:rsid w:val="006339A9"/>
    <w:rsid w:val="00633C0A"/>
    <w:rsid w:val="006341D1"/>
    <w:rsid w:val="006348CD"/>
    <w:rsid w:val="00634C2F"/>
    <w:rsid w:val="00634E26"/>
    <w:rsid w:val="00635B81"/>
    <w:rsid w:val="00637518"/>
    <w:rsid w:val="00637BA1"/>
    <w:rsid w:val="00637EBC"/>
    <w:rsid w:val="00640502"/>
    <w:rsid w:val="006415F1"/>
    <w:rsid w:val="0064179D"/>
    <w:rsid w:val="006419E8"/>
    <w:rsid w:val="00641C7A"/>
    <w:rsid w:val="00642074"/>
    <w:rsid w:val="006431EE"/>
    <w:rsid w:val="0064324E"/>
    <w:rsid w:val="00643E51"/>
    <w:rsid w:val="00643E9D"/>
    <w:rsid w:val="00643EEA"/>
    <w:rsid w:val="00643FE0"/>
    <w:rsid w:val="00644519"/>
    <w:rsid w:val="006446C9"/>
    <w:rsid w:val="00644DFC"/>
    <w:rsid w:val="00646E59"/>
    <w:rsid w:val="00646EEE"/>
    <w:rsid w:val="00647E92"/>
    <w:rsid w:val="00650860"/>
    <w:rsid w:val="00651B7E"/>
    <w:rsid w:val="0065269A"/>
    <w:rsid w:val="00652D31"/>
    <w:rsid w:val="00654343"/>
    <w:rsid w:val="0065451C"/>
    <w:rsid w:val="00654BDE"/>
    <w:rsid w:val="00654EE6"/>
    <w:rsid w:val="0065585B"/>
    <w:rsid w:val="006571A2"/>
    <w:rsid w:val="006574C7"/>
    <w:rsid w:val="00660AC4"/>
    <w:rsid w:val="006619EF"/>
    <w:rsid w:val="00661A4A"/>
    <w:rsid w:val="0066287A"/>
    <w:rsid w:val="006641DF"/>
    <w:rsid w:val="006647B8"/>
    <w:rsid w:val="00664EF0"/>
    <w:rsid w:val="006655B8"/>
    <w:rsid w:val="00665797"/>
    <w:rsid w:val="00665BFD"/>
    <w:rsid w:val="006660CC"/>
    <w:rsid w:val="0066618E"/>
    <w:rsid w:val="00667BCA"/>
    <w:rsid w:val="006703EF"/>
    <w:rsid w:val="00670932"/>
    <w:rsid w:val="0067095C"/>
    <w:rsid w:val="00671450"/>
    <w:rsid w:val="00672A2B"/>
    <w:rsid w:val="00673066"/>
    <w:rsid w:val="00673AA8"/>
    <w:rsid w:val="0067551E"/>
    <w:rsid w:val="006772CE"/>
    <w:rsid w:val="00677BCF"/>
    <w:rsid w:val="0068007F"/>
    <w:rsid w:val="006804EA"/>
    <w:rsid w:val="00680DC8"/>
    <w:rsid w:val="006811BB"/>
    <w:rsid w:val="00681B3B"/>
    <w:rsid w:val="00682F9F"/>
    <w:rsid w:val="00683166"/>
    <w:rsid w:val="0068409D"/>
    <w:rsid w:val="0068475D"/>
    <w:rsid w:val="0068479F"/>
    <w:rsid w:val="00685ADB"/>
    <w:rsid w:val="00686C7B"/>
    <w:rsid w:val="00687278"/>
    <w:rsid w:val="006873A7"/>
    <w:rsid w:val="006874CB"/>
    <w:rsid w:val="00687FBF"/>
    <w:rsid w:val="00690680"/>
    <w:rsid w:val="006922B3"/>
    <w:rsid w:val="00692612"/>
    <w:rsid w:val="006930C3"/>
    <w:rsid w:val="006934A9"/>
    <w:rsid w:val="006946E7"/>
    <w:rsid w:val="00695566"/>
    <w:rsid w:val="00695BD3"/>
    <w:rsid w:val="00695FCD"/>
    <w:rsid w:val="00695FE2"/>
    <w:rsid w:val="006960F5"/>
    <w:rsid w:val="00696542"/>
    <w:rsid w:val="00696767"/>
    <w:rsid w:val="0069677D"/>
    <w:rsid w:val="006968FC"/>
    <w:rsid w:val="00696EF1"/>
    <w:rsid w:val="00697913"/>
    <w:rsid w:val="006A08E0"/>
    <w:rsid w:val="006A0DD1"/>
    <w:rsid w:val="006A1B3F"/>
    <w:rsid w:val="006A1F33"/>
    <w:rsid w:val="006A1FCB"/>
    <w:rsid w:val="006A1FCE"/>
    <w:rsid w:val="006A36CF"/>
    <w:rsid w:val="006A36D1"/>
    <w:rsid w:val="006A40D1"/>
    <w:rsid w:val="006A44EB"/>
    <w:rsid w:val="006A46FA"/>
    <w:rsid w:val="006A4969"/>
    <w:rsid w:val="006A568A"/>
    <w:rsid w:val="006A59F5"/>
    <w:rsid w:val="006A6D56"/>
    <w:rsid w:val="006B0E7B"/>
    <w:rsid w:val="006B2C3B"/>
    <w:rsid w:val="006B313E"/>
    <w:rsid w:val="006B367D"/>
    <w:rsid w:val="006B3952"/>
    <w:rsid w:val="006B397F"/>
    <w:rsid w:val="006B3F3D"/>
    <w:rsid w:val="006B503E"/>
    <w:rsid w:val="006B6264"/>
    <w:rsid w:val="006B7177"/>
    <w:rsid w:val="006B728A"/>
    <w:rsid w:val="006B7A57"/>
    <w:rsid w:val="006B7FBE"/>
    <w:rsid w:val="006B7FC7"/>
    <w:rsid w:val="006C0BA7"/>
    <w:rsid w:val="006C0C58"/>
    <w:rsid w:val="006C1D91"/>
    <w:rsid w:val="006C2122"/>
    <w:rsid w:val="006C2679"/>
    <w:rsid w:val="006C2784"/>
    <w:rsid w:val="006C35B6"/>
    <w:rsid w:val="006C429D"/>
    <w:rsid w:val="006C549A"/>
    <w:rsid w:val="006C6CD9"/>
    <w:rsid w:val="006C7C2B"/>
    <w:rsid w:val="006D0103"/>
    <w:rsid w:val="006D01B5"/>
    <w:rsid w:val="006D1973"/>
    <w:rsid w:val="006D1C2D"/>
    <w:rsid w:val="006D2549"/>
    <w:rsid w:val="006D28C6"/>
    <w:rsid w:val="006D3499"/>
    <w:rsid w:val="006D3CE0"/>
    <w:rsid w:val="006D517D"/>
    <w:rsid w:val="006D51EC"/>
    <w:rsid w:val="006D52D0"/>
    <w:rsid w:val="006D55DA"/>
    <w:rsid w:val="006D5664"/>
    <w:rsid w:val="006D5ACC"/>
    <w:rsid w:val="006D613C"/>
    <w:rsid w:val="006D7B30"/>
    <w:rsid w:val="006D7F88"/>
    <w:rsid w:val="006E0C52"/>
    <w:rsid w:val="006E1076"/>
    <w:rsid w:val="006E1259"/>
    <w:rsid w:val="006E138C"/>
    <w:rsid w:val="006E14C3"/>
    <w:rsid w:val="006E1E09"/>
    <w:rsid w:val="006E327C"/>
    <w:rsid w:val="006E3911"/>
    <w:rsid w:val="006E5734"/>
    <w:rsid w:val="006E67D5"/>
    <w:rsid w:val="006E7452"/>
    <w:rsid w:val="006E7509"/>
    <w:rsid w:val="006E7516"/>
    <w:rsid w:val="006E78D7"/>
    <w:rsid w:val="006E7CC3"/>
    <w:rsid w:val="006E7FFB"/>
    <w:rsid w:val="006F02E7"/>
    <w:rsid w:val="006F160F"/>
    <w:rsid w:val="006F1B93"/>
    <w:rsid w:val="006F23F3"/>
    <w:rsid w:val="006F278C"/>
    <w:rsid w:val="006F299F"/>
    <w:rsid w:val="006F2B6F"/>
    <w:rsid w:val="006F3AE8"/>
    <w:rsid w:val="006F431A"/>
    <w:rsid w:val="006F5E81"/>
    <w:rsid w:val="006F6007"/>
    <w:rsid w:val="006F6487"/>
    <w:rsid w:val="006F6553"/>
    <w:rsid w:val="007000B7"/>
    <w:rsid w:val="00701084"/>
    <w:rsid w:val="0070112A"/>
    <w:rsid w:val="0070145F"/>
    <w:rsid w:val="00701EFB"/>
    <w:rsid w:val="00702433"/>
    <w:rsid w:val="0070296A"/>
    <w:rsid w:val="00703F72"/>
    <w:rsid w:val="007048CE"/>
    <w:rsid w:val="007067AA"/>
    <w:rsid w:val="00706E58"/>
    <w:rsid w:val="00707226"/>
    <w:rsid w:val="007075FB"/>
    <w:rsid w:val="00710C46"/>
    <w:rsid w:val="0071128D"/>
    <w:rsid w:val="007118DD"/>
    <w:rsid w:val="00712B41"/>
    <w:rsid w:val="00712D33"/>
    <w:rsid w:val="00713064"/>
    <w:rsid w:val="00713B71"/>
    <w:rsid w:val="00713D37"/>
    <w:rsid w:val="00713E22"/>
    <w:rsid w:val="0071439E"/>
    <w:rsid w:val="007152AD"/>
    <w:rsid w:val="0071688C"/>
    <w:rsid w:val="00720A3C"/>
    <w:rsid w:val="0072111F"/>
    <w:rsid w:val="00721805"/>
    <w:rsid w:val="0072209E"/>
    <w:rsid w:val="007224ED"/>
    <w:rsid w:val="00723106"/>
    <w:rsid w:val="00723C26"/>
    <w:rsid w:val="007245B1"/>
    <w:rsid w:val="00725AB2"/>
    <w:rsid w:val="00725F9B"/>
    <w:rsid w:val="007263F4"/>
    <w:rsid w:val="007263FC"/>
    <w:rsid w:val="0072649D"/>
    <w:rsid w:val="007264DA"/>
    <w:rsid w:val="00730CB9"/>
    <w:rsid w:val="00731BE3"/>
    <w:rsid w:val="0073229F"/>
    <w:rsid w:val="0073272E"/>
    <w:rsid w:val="0073332F"/>
    <w:rsid w:val="007340F8"/>
    <w:rsid w:val="00734380"/>
    <w:rsid w:val="0073489F"/>
    <w:rsid w:val="00734CC2"/>
    <w:rsid w:val="00734D5A"/>
    <w:rsid w:val="0073507B"/>
    <w:rsid w:val="007351AB"/>
    <w:rsid w:val="007352A9"/>
    <w:rsid w:val="00735303"/>
    <w:rsid w:val="00735347"/>
    <w:rsid w:val="00735630"/>
    <w:rsid w:val="00735972"/>
    <w:rsid w:val="00735C00"/>
    <w:rsid w:val="00735FC4"/>
    <w:rsid w:val="007360F5"/>
    <w:rsid w:val="007364FA"/>
    <w:rsid w:val="0073734B"/>
    <w:rsid w:val="00737B1C"/>
    <w:rsid w:val="00737EBE"/>
    <w:rsid w:val="00740017"/>
    <w:rsid w:val="00740060"/>
    <w:rsid w:val="007402C8"/>
    <w:rsid w:val="00740489"/>
    <w:rsid w:val="00740A2C"/>
    <w:rsid w:val="00741494"/>
    <w:rsid w:val="00741EE3"/>
    <w:rsid w:val="007423B1"/>
    <w:rsid w:val="00742A86"/>
    <w:rsid w:val="0074359D"/>
    <w:rsid w:val="00743F1F"/>
    <w:rsid w:val="0074474C"/>
    <w:rsid w:val="00745EE2"/>
    <w:rsid w:val="00746898"/>
    <w:rsid w:val="007471A5"/>
    <w:rsid w:val="00747E24"/>
    <w:rsid w:val="00750489"/>
    <w:rsid w:val="00751075"/>
    <w:rsid w:val="00751D6E"/>
    <w:rsid w:val="0075250F"/>
    <w:rsid w:val="007525E9"/>
    <w:rsid w:val="007531DB"/>
    <w:rsid w:val="00753AC0"/>
    <w:rsid w:val="00754083"/>
    <w:rsid w:val="007543A9"/>
    <w:rsid w:val="00754E47"/>
    <w:rsid w:val="00755844"/>
    <w:rsid w:val="007559C4"/>
    <w:rsid w:val="00755B0D"/>
    <w:rsid w:val="00755F2B"/>
    <w:rsid w:val="007562B0"/>
    <w:rsid w:val="00756A91"/>
    <w:rsid w:val="00756EBB"/>
    <w:rsid w:val="007575DC"/>
    <w:rsid w:val="00757BBC"/>
    <w:rsid w:val="0076018C"/>
    <w:rsid w:val="00760C28"/>
    <w:rsid w:val="007615E3"/>
    <w:rsid w:val="00762251"/>
    <w:rsid w:val="0076325F"/>
    <w:rsid w:val="0076500D"/>
    <w:rsid w:val="007650C2"/>
    <w:rsid w:val="007655E3"/>
    <w:rsid w:val="00767020"/>
    <w:rsid w:val="0077082B"/>
    <w:rsid w:val="00770AF0"/>
    <w:rsid w:val="00771902"/>
    <w:rsid w:val="00772832"/>
    <w:rsid w:val="00772D2F"/>
    <w:rsid w:val="00773162"/>
    <w:rsid w:val="0077416E"/>
    <w:rsid w:val="0077575A"/>
    <w:rsid w:val="00776039"/>
    <w:rsid w:val="00776F0B"/>
    <w:rsid w:val="00781709"/>
    <w:rsid w:val="00781A19"/>
    <w:rsid w:val="0078222B"/>
    <w:rsid w:val="007822FC"/>
    <w:rsid w:val="007824EC"/>
    <w:rsid w:val="007829E6"/>
    <w:rsid w:val="0078309D"/>
    <w:rsid w:val="00783A34"/>
    <w:rsid w:val="00784752"/>
    <w:rsid w:val="0078481F"/>
    <w:rsid w:val="00784998"/>
    <w:rsid w:val="00784C07"/>
    <w:rsid w:val="00784C5A"/>
    <w:rsid w:val="007851BA"/>
    <w:rsid w:val="0078563C"/>
    <w:rsid w:val="00786669"/>
    <w:rsid w:val="00786D1F"/>
    <w:rsid w:val="00786D83"/>
    <w:rsid w:val="00786EE6"/>
    <w:rsid w:val="00787120"/>
    <w:rsid w:val="00787280"/>
    <w:rsid w:val="00787A52"/>
    <w:rsid w:val="00787C40"/>
    <w:rsid w:val="00787EC1"/>
    <w:rsid w:val="0079197C"/>
    <w:rsid w:val="007920C4"/>
    <w:rsid w:val="007925BB"/>
    <w:rsid w:val="007932A3"/>
    <w:rsid w:val="00793457"/>
    <w:rsid w:val="0079376D"/>
    <w:rsid w:val="00793B9F"/>
    <w:rsid w:val="00793BF1"/>
    <w:rsid w:val="0079403C"/>
    <w:rsid w:val="007944C9"/>
    <w:rsid w:val="00796175"/>
    <w:rsid w:val="007971C1"/>
    <w:rsid w:val="007972E7"/>
    <w:rsid w:val="007A0031"/>
    <w:rsid w:val="007A0604"/>
    <w:rsid w:val="007A1291"/>
    <w:rsid w:val="007A15B7"/>
    <w:rsid w:val="007A2BAB"/>
    <w:rsid w:val="007A356B"/>
    <w:rsid w:val="007A4F6A"/>
    <w:rsid w:val="007A5301"/>
    <w:rsid w:val="007A5564"/>
    <w:rsid w:val="007A62E5"/>
    <w:rsid w:val="007A63E6"/>
    <w:rsid w:val="007A7506"/>
    <w:rsid w:val="007A7F7A"/>
    <w:rsid w:val="007B0016"/>
    <w:rsid w:val="007B00F8"/>
    <w:rsid w:val="007B0A37"/>
    <w:rsid w:val="007B0B36"/>
    <w:rsid w:val="007B0B3D"/>
    <w:rsid w:val="007B0C76"/>
    <w:rsid w:val="007B1564"/>
    <w:rsid w:val="007B1618"/>
    <w:rsid w:val="007B259D"/>
    <w:rsid w:val="007B2718"/>
    <w:rsid w:val="007B2F6B"/>
    <w:rsid w:val="007B30F0"/>
    <w:rsid w:val="007B35E3"/>
    <w:rsid w:val="007B36A6"/>
    <w:rsid w:val="007B552A"/>
    <w:rsid w:val="007B7499"/>
    <w:rsid w:val="007B7AC3"/>
    <w:rsid w:val="007B7BA4"/>
    <w:rsid w:val="007C118B"/>
    <w:rsid w:val="007C1F7D"/>
    <w:rsid w:val="007C25F3"/>
    <w:rsid w:val="007C2651"/>
    <w:rsid w:val="007C27BE"/>
    <w:rsid w:val="007C2F25"/>
    <w:rsid w:val="007C32AD"/>
    <w:rsid w:val="007C3496"/>
    <w:rsid w:val="007C37F1"/>
    <w:rsid w:val="007C3AD0"/>
    <w:rsid w:val="007C4228"/>
    <w:rsid w:val="007C4599"/>
    <w:rsid w:val="007C5F83"/>
    <w:rsid w:val="007C6344"/>
    <w:rsid w:val="007C66B0"/>
    <w:rsid w:val="007C730C"/>
    <w:rsid w:val="007C7B52"/>
    <w:rsid w:val="007D0A8D"/>
    <w:rsid w:val="007D0C8A"/>
    <w:rsid w:val="007D1315"/>
    <w:rsid w:val="007D1354"/>
    <w:rsid w:val="007D140F"/>
    <w:rsid w:val="007D19C8"/>
    <w:rsid w:val="007D1C7D"/>
    <w:rsid w:val="007D1EA2"/>
    <w:rsid w:val="007D2306"/>
    <w:rsid w:val="007D2F2A"/>
    <w:rsid w:val="007D3A82"/>
    <w:rsid w:val="007D3DD4"/>
    <w:rsid w:val="007D3F5A"/>
    <w:rsid w:val="007D476C"/>
    <w:rsid w:val="007D47AF"/>
    <w:rsid w:val="007D5E3D"/>
    <w:rsid w:val="007D6C3D"/>
    <w:rsid w:val="007D76EC"/>
    <w:rsid w:val="007D78D1"/>
    <w:rsid w:val="007E135F"/>
    <w:rsid w:val="007E136D"/>
    <w:rsid w:val="007E202C"/>
    <w:rsid w:val="007E23D9"/>
    <w:rsid w:val="007E28E0"/>
    <w:rsid w:val="007E2AED"/>
    <w:rsid w:val="007E3398"/>
    <w:rsid w:val="007E3EEF"/>
    <w:rsid w:val="007E45DE"/>
    <w:rsid w:val="007E4705"/>
    <w:rsid w:val="007E5705"/>
    <w:rsid w:val="007E5E26"/>
    <w:rsid w:val="007F0187"/>
    <w:rsid w:val="007F0391"/>
    <w:rsid w:val="007F137B"/>
    <w:rsid w:val="007F249B"/>
    <w:rsid w:val="007F2736"/>
    <w:rsid w:val="007F27FE"/>
    <w:rsid w:val="007F313B"/>
    <w:rsid w:val="007F3352"/>
    <w:rsid w:val="007F3734"/>
    <w:rsid w:val="007F4821"/>
    <w:rsid w:val="007F484D"/>
    <w:rsid w:val="007F4B35"/>
    <w:rsid w:val="007F5C32"/>
    <w:rsid w:val="007F617C"/>
    <w:rsid w:val="007F647B"/>
    <w:rsid w:val="007F6578"/>
    <w:rsid w:val="007F705E"/>
    <w:rsid w:val="007F772D"/>
    <w:rsid w:val="007F7742"/>
    <w:rsid w:val="00801FF3"/>
    <w:rsid w:val="00802DAA"/>
    <w:rsid w:val="00803500"/>
    <w:rsid w:val="00803732"/>
    <w:rsid w:val="00804AED"/>
    <w:rsid w:val="00804E4E"/>
    <w:rsid w:val="008061EA"/>
    <w:rsid w:val="008067F2"/>
    <w:rsid w:val="00806905"/>
    <w:rsid w:val="00807A46"/>
    <w:rsid w:val="00807B6F"/>
    <w:rsid w:val="00807F47"/>
    <w:rsid w:val="00810330"/>
    <w:rsid w:val="00811384"/>
    <w:rsid w:val="00812479"/>
    <w:rsid w:val="008125A8"/>
    <w:rsid w:val="00812A23"/>
    <w:rsid w:val="00813020"/>
    <w:rsid w:val="0081504F"/>
    <w:rsid w:val="0081537B"/>
    <w:rsid w:val="00815FA2"/>
    <w:rsid w:val="008176B2"/>
    <w:rsid w:val="008200AD"/>
    <w:rsid w:val="008214D6"/>
    <w:rsid w:val="00821E70"/>
    <w:rsid w:val="00822375"/>
    <w:rsid w:val="00822473"/>
    <w:rsid w:val="00822A87"/>
    <w:rsid w:val="00822F26"/>
    <w:rsid w:val="00823125"/>
    <w:rsid w:val="008235F0"/>
    <w:rsid w:val="00823ACB"/>
    <w:rsid w:val="00823D9E"/>
    <w:rsid w:val="0082454F"/>
    <w:rsid w:val="00825B53"/>
    <w:rsid w:val="0082645A"/>
    <w:rsid w:val="00827459"/>
    <w:rsid w:val="0082759F"/>
    <w:rsid w:val="00831123"/>
    <w:rsid w:val="00831797"/>
    <w:rsid w:val="00832102"/>
    <w:rsid w:val="008322D7"/>
    <w:rsid w:val="00833244"/>
    <w:rsid w:val="008334DD"/>
    <w:rsid w:val="00833E7B"/>
    <w:rsid w:val="00833F9D"/>
    <w:rsid w:val="00834112"/>
    <w:rsid w:val="0083422D"/>
    <w:rsid w:val="00834302"/>
    <w:rsid w:val="0083438F"/>
    <w:rsid w:val="00834A34"/>
    <w:rsid w:val="00834DFD"/>
    <w:rsid w:val="00835394"/>
    <w:rsid w:val="008356A2"/>
    <w:rsid w:val="00835C18"/>
    <w:rsid w:val="008361ED"/>
    <w:rsid w:val="00836DCA"/>
    <w:rsid w:val="00836FAC"/>
    <w:rsid w:val="00837A7E"/>
    <w:rsid w:val="00837D15"/>
    <w:rsid w:val="00837FB7"/>
    <w:rsid w:val="00843044"/>
    <w:rsid w:val="00843651"/>
    <w:rsid w:val="00844A58"/>
    <w:rsid w:val="00845FEB"/>
    <w:rsid w:val="008460E9"/>
    <w:rsid w:val="00846661"/>
    <w:rsid w:val="00847529"/>
    <w:rsid w:val="008475AA"/>
    <w:rsid w:val="00847C59"/>
    <w:rsid w:val="00847D38"/>
    <w:rsid w:val="0085119D"/>
    <w:rsid w:val="008514B4"/>
    <w:rsid w:val="00851960"/>
    <w:rsid w:val="00851B2A"/>
    <w:rsid w:val="008522A2"/>
    <w:rsid w:val="00853083"/>
    <w:rsid w:val="008533E3"/>
    <w:rsid w:val="008534E5"/>
    <w:rsid w:val="00853B88"/>
    <w:rsid w:val="00854060"/>
    <w:rsid w:val="00854A7F"/>
    <w:rsid w:val="00854C73"/>
    <w:rsid w:val="00854D68"/>
    <w:rsid w:val="0085513F"/>
    <w:rsid w:val="00855679"/>
    <w:rsid w:val="00855D06"/>
    <w:rsid w:val="00855FCF"/>
    <w:rsid w:val="00856993"/>
    <w:rsid w:val="00857719"/>
    <w:rsid w:val="00857BAD"/>
    <w:rsid w:val="00857CF5"/>
    <w:rsid w:val="00857E04"/>
    <w:rsid w:val="0085CDE0"/>
    <w:rsid w:val="00861080"/>
    <w:rsid w:val="008610C0"/>
    <w:rsid w:val="008616DA"/>
    <w:rsid w:val="00861A2E"/>
    <w:rsid w:val="00865B00"/>
    <w:rsid w:val="0087093D"/>
    <w:rsid w:val="00871B9A"/>
    <w:rsid w:val="0087216F"/>
    <w:rsid w:val="0087240A"/>
    <w:rsid w:val="00872E0B"/>
    <w:rsid w:val="008734F3"/>
    <w:rsid w:val="00873C8C"/>
    <w:rsid w:val="008740D4"/>
    <w:rsid w:val="008743CB"/>
    <w:rsid w:val="008746A5"/>
    <w:rsid w:val="00874D31"/>
    <w:rsid w:val="008751EE"/>
    <w:rsid w:val="00875554"/>
    <w:rsid w:val="00875A57"/>
    <w:rsid w:val="00876359"/>
    <w:rsid w:val="00877F36"/>
    <w:rsid w:val="0088012E"/>
    <w:rsid w:val="00880746"/>
    <w:rsid w:val="00880F9F"/>
    <w:rsid w:val="008812CC"/>
    <w:rsid w:val="00881619"/>
    <w:rsid w:val="00881A4C"/>
    <w:rsid w:val="00881BC5"/>
    <w:rsid w:val="00882187"/>
    <w:rsid w:val="00882344"/>
    <w:rsid w:val="00884628"/>
    <w:rsid w:val="008847F4"/>
    <w:rsid w:val="00884EA1"/>
    <w:rsid w:val="00884EA6"/>
    <w:rsid w:val="0088502B"/>
    <w:rsid w:val="00885C24"/>
    <w:rsid w:val="00887D08"/>
    <w:rsid w:val="00887F14"/>
    <w:rsid w:val="00890C60"/>
    <w:rsid w:val="00891044"/>
    <w:rsid w:val="00891A9E"/>
    <w:rsid w:val="00891C7C"/>
    <w:rsid w:val="0089249E"/>
    <w:rsid w:val="00892674"/>
    <w:rsid w:val="008928FC"/>
    <w:rsid w:val="00892D99"/>
    <w:rsid w:val="00893B95"/>
    <w:rsid w:val="00893E69"/>
    <w:rsid w:val="008946C8"/>
    <w:rsid w:val="00895157"/>
    <w:rsid w:val="00895C3D"/>
    <w:rsid w:val="00896333"/>
    <w:rsid w:val="00896590"/>
    <w:rsid w:val="00896DE0"/>
    <w:rsid w:val="00897424"/>
    <w:rsid w:val="008974EF"/>
    <w:rsid w:val="008A08CB"/>
    <w:rsid w:val="008A14F1"/>
    <w:rsid w:val="008A1993"/>
    <w:rsid w:val="008A2430"/>
    <w:rsid w:val="008A36DB"/>
    <w:rsid w:val="008A386A"/>
    <w:rsid w:val="008A3B20"/>
    <w:rsid w:val="008A3EA1"/>
    <w:rsid w:val="008A4198"/>
    <w:rsid w:val="008A59FC"/>
    <w:rsid w:val="008A6058"/>
    <w:rsid w:val="008A6620"/>
    <w:rsid w:val="008B11C3"/>
    <w:rsid w:val="008B1F41"/>
    <w:rsid w:val="008B2B71"/>
    <w:rsid w:val="008B2F05"/>
    <w:rsid w:val="008B3477"/>
    <w:rsid w:val="008B3556"/>
    <w:rsid w:val="008B3B79"/>
    <w:rsid w:val="008B4830"/>
    <w:rsid w:val="008B49E9"/>
    <w:rsid w:val="008B4B4B"/>
    <w:rsid w:val="008B4BD7"/>
    <w:rsid w:val="008B596E"/>
    <w:rsid w:val="008B6334"/>
    <w:rsid w:val="008B7EFD"/>
    <w:rsid w:val="008B7F4E"/>
    <w:rsid w:val="008C0B52"/>
    <w:rsid w:val="008C0EEB"/>
    <w:rsid w:val="008C1792"/>
    <w:rsid w:val="008C236C"/>
    <w:rsid w:val="008C23B1"/>
    <w:rsid w:val="008C2617"/>
    <w:rsid w:val="008C2AC5"/>
    <w:rsid w:val="008C2D23"/>
    <w:rsid w:val="008C2E1B"/>
    <w:rsid w:val="008C308E"/>
    <w:rsid w:val="008C4BDC"/>
    <w:rsid w:val="008C4D3D"/>
    <w:rsid w:val="008C5E4C"/>
    <w:rsid w:val="008C6343"/>
    <w:rsid w:val="008C64DF"/>
    <w:rsid w:val="008C69D6"/>
    <w:rsid w:val="008C6B1D"/>
    <w:rsid w:val="008C6E83"/>
    <w:rsid w:val="008C7FFC"/>
    <w:rsid w:val="008D08B1"/>
    <w:rsid w:val="008D19FB"/>
    <w:rsid w:val="008D2251"/>
    <w:rsid w:val="008D31AE"/>
    <w:rsid w:val="008D3E2F"/>
    <w:rsid w:val="008D494A"/>
    <w:rsid w:val="008D5A18"/>
    <w:rsid w:val="008D5B7F"/>
    <w:rsid w:val="008D5EA5"/>
    <w:rsid w:val="008D5ECA"/>
    <w:rsid w:val="008D6119"/>
    <w:rsid w:val="008D7890"/>
    <w:rsid w:val="008D7AAB"/>
    <w:rsid w:val="008D7F00"/>
    <w:rsid w:val="008E1722"/>
    <w:rsid w:val="008E1F45"/>
    <w:rsid w:val="008E22C0"/>
    <w:rsid w:val="008E320A"/>
    <w:rsid w:val="008E34AB"/>
    <w:rsid w:val="008E3C0C"/>
    <w:rsid w:val="008E3D80"/>
    <w:rsid w:val="008E4F2F"/>
    <w:rsid w:val="008E604F"/>
    <w:rsid w:val="008E725E"/>
    <w:rsid w:val="008E7ACF"/>
    <w:rsid w:val="008E7B35"/>
    <w:rsid w:val="008E7E15"/>
    <w:rsid w:val="008F0B1E"/>
    <w:rsid w:val="008F0FC7"/>
    <w:rsid w:val="008F19C5"/>
    <w:rsid w:val="008F23A5"/>
    <w:rsid w:val="008F278A"/>
    <w:rsid w:val="008F2AFC"/>
    <w:rsid w:val="008F2CD8"/>
    <w:rsid w:val="008F30BD"/>
    <w:rsid w:val="008F3650"/>
    <w:rsid w:val="008F3B57"/>
    <w:rsid w:val="008F43BD"/>
    <w:rsid w:val="008F54D2"/>
    <w:rsid w:val="008F5814"/>
    <w:rsid w:val="008F7066"/>
    <w:rsid w:val="008F70C6"/>
    <w:rsid w:val="008F712D"/>
    <w:rsid w:val="008F7229"/>
    <w:rsid w:val="008F7382"/>
    <w:rsid w:val="009001F0"/>
    <w:rsid w:val="00900450"/>
    <w:rsid w:val="00900AE0"/>
    <w:rsid w:val="00900F08"/>
    <w:rsid w:val="00901398"/>
    <w:rsid w:val="009017D2"/>
    <w:rsid w:val="00901A74"/>
    <w:rsid w:val="00901BB5"/>
    <w:rsid w:val="00903630"/>
    <w:rsid w:val="0090398A"/>
    <w:rsid w:val="00903D2A"/>
    <w:rsid w:val="00904955"/>
    <w:rsid w:val="009058E9"/>
    <w:rsid w:val="00905DD4"/>
    <w:rsid w:val="00905F31"/>
    <w:rsid w:val="00906967"/>
    <w:rsid w:val="00906C3C"/>
    <w:rsid w:val="00906D69"/>
    <w:rsid w:val="009107D4"/>
    <w:rsid w:val="00911303"/>
    <w:rsid w:val="00911A9B"/>
    <w:rsid w:val="0091290A"/>
    <w:rsid w:val="00912FA5"/>
    <w:rsid w:val="009130E0"/>
    <w:rsid w:val="0091330E"/>
    <w:rsid w:val="00913AB3"/>
    <w:rsid w:val="0091499B"/>
    <w:rsid w:val="00914A9D"/>
    <w:rsid w:val="00914BBB"/>
    <w:rsid w:val="00915D72"/>
    <w:rsid w:val="00916451"/>
    <w:rsid w:val="009173FC"/>
    <w:rsid w:val="00917F37"/>
    <w:rsid w:val="009200F4"/>
    <w:rsid w:val="00920A24"/>
    <w:rsid w:val="00920ABD"/>
    <w:rsid w:val="00920B87"/>
    <w:rsid w:val="00922238"/>
    <w:rsid w:val="00923116"/>
    <w:rsid w:val="009233FE"/>
    <w:rsid w:val="00923809"/>
    <w:rsid w:val="00924F99"/>
    <w:rsid w:val="0092705A"/>
    <w:rsid w:val="00927271"/>
    <w:rsid w:val="009277C1"/>
    <w:rsid w:val="009279CC"/>
    <w:rsid w:val="00927DB0"/>
    <w:rsid w:val="00930FCF"/>
    <w:rsid w:val="00930FDC"/>
    <w:rsid w:val="00931296"/>
    <w:rsid w:val="00932EDA"/>
    <w:rsid w:val="00932FD9"/>
    <w:rsid w:val="00933538"/>
    <w:rsid w:val="00933555"/>
    <w:rsid w:val="009339A5"/>
    <w:rsid w:val="00933E5E"/>
    <w:rsid w:val="00933F13"/>
    <w:rsid w:val="00933F8C"/>
    <w:rsid w:val="0093404C"/>
    <w:rsid w:val="00934420"/>
    <w:rsid w:val="0093554D"/>
    <w:rsid w:val="0093576B"/>
    <w:rsid w:val="009360D0"/>
    <w:rsid w:val="0093616A"/>
    <w:rsid w:val="00936279"/>
    <w:rsid w:val="00936716"/>
    <w:rsid w:val="00936DE2"/>
    <w:rsid w:val="00936FAF"/>
    <w:rsid w:val="00940041"/>
    <w:rsid w:val="0094098E"/>
    <w:rsid w:val="00940B78"/>
    <w:rsid w:val="0094104F"/>
    <w:rsid w:val="00941C44"/>
    <w:rsid w:val="00941CD9"/>
    <w:rsid w:val="009420D7"/>
    <w:rsid w:val="009430D6"/>
    <w:rsid w:val="0094318E"/>
    <w:rsid w:val="009433B9"/>
    <w:rsid w:val="009434A4"/>
    <w:rsid w:val="009435D0"/>
    <w:rsid w:val="0094367B"/>
    <w:rsid w:val="00943767"/>
    <w:rsid w:val="00943CC7"/>
    <w:rsid w:val="009442AA"/>
    <w:rsid w:val="0094435F"/>
    <w:rsid w:val="00944DD8"/>
    <w:rsid w:val="00946656"/>
    <w:rsid w:val="0094670A"/>
    <w:rsid w:val="00946CC2"/>
    <w:rsid w:val="00946FEF"/>
    <w:rsid w:val="009502D2"/>
    <w:rsid w:val="00950B1D"/>
    <w:rsid w:val="00951396"/>
    <w:rsid w:val="00954621"/>
    <w:rsid w:val="009550ED"/>
    <w:rsid w:val="00955663"/>
    <w:rsid w:val="00955B37"/>
    <w:rsid w:val="00956408"/>
    <w:rsid w:val="00956B3B"/>
    <w:rsid w:val="009578EF"/>
    <w:rsid w:val="00957B14"/>
    <w:rsid w:val="00957F08"/>
    <w:rsid w:val="00960213"/>
    <w:rsid w:val="00962164"/>
    <w:rsid w:val="00962512"/>
    <w:rsid w:val="009640FD"/>
    <w:rsid w:val="009647F9"/>
    <w:rsid w:val="00964F88"/>
    <w:rsid w:val="00964FA6"/>
    <w:rsid w:val="009656F3"/>
    <w:rsid w:val="009657F4"/>
    <w:rsid w:val="009658E2"/>
    <w:rsid w:val="00965910"/>
    <w:rsid w:val="00965AF1"/>
    <w:rsid w:val="00966942"/>
    <w:rsid w:val="009679C2"/>
    <w:rsid w:val="00967F1C"/>
    <w:rsid w:val="009712A8"/>
    <w:rsid w:val="009716E6"/>
    <w:rsid w:val="00971954"/>
    <w:rsid w:val="00972052"/>
    <w:rsid w:val="0097292A"/>
    <w:rsid w:val="00972D3F"/>
    <w:rsid w:val="00972D8C"/>
    <w:rsid w:val="00973C70"/>
    <w:rsid w:val="0097443F"/>
    <w:rsid w:val="00974A41"/>
    <w:rsid w:val="00974EF5"/>
    <w:rsid w:val="00976224"/>
    <w:rsid w:val="00976BDA"/>
    <w:rsid w:val="00977680"/>
    <w:rsid w:val="00977950"/>
    <w:rsid w:val="00977B68"/>
    <w:rsid w:val="00977B6F"/>
    <w:rsid w:val="0098057E"/>
    <w:rsid w:val="00981624"/>
    <w:rsid w:val="009824AE"/>
    <w:rsid w:val="00982869"/>
    <w:rsid w:val="00982CDF"/>
    <w:rsid w:val="009830DC"/>
    <w:rsid w:val="009831E4"/>
    <w:rsid w:val="00983EF7"/>
    <w:rsid w:val="00984D4B"/>
    <w:rsid w:val="00985214"/>
    <w:rsid w:val="0098524A"/>
    <w:rsid w:val="00985B1A"/>
    <w:rsid w:val="00986412"/>
    <w:rsid w:val="00986AC4"/>
    <w:rsid w:val="00986BE4"/>
    <w:rsid w:val="00986D90"/>
    <w:rsid w:val="009871FE"/>
    <w:rsid w:val="0098727D"/>
    <w:rsid w:val="00987B90"/>
    <w:rsid w:val="00987C3E"/>
    <w:rsid w:val="0099005E"/>
    <w:rsid w:val="00990D82"/>
    <w:rsid w:val="00990EDF"/>
    <w:rsid w:val="00991805"/>
    <w:rsid w:val="00992162"/>
    <w:rsid w:val="009921B1"/>
    <w:rsid w:val="00992A49"/>
    <w:rsid w:val="00993038"/>
    <w:rsid w:val="00993099"/>
    <w:rsid w:val="00993B1C"/>
    <w:rsid w:val="00994245"/>
    <w:rsid w:val="0099503F"/>
    <w:rsid w:val="009950BD"/>
    <w:rsid w:val="00995928"/>
    <w:rsid w:val="00995B5F"/>
    <w:rsid w:val="00995CF2"/>
    <w:rsid w:val="009960BF"/>
    <w:rsid w:val="009964CF"/>
    <w:rsid w:val="00997D6F"/>
    <w:rsid w:val="009A057B"/>
    <w:rsid w:val="009A0B02"/>
    <w:rsid w:val="009A0EF6"/>
    <w:rsid w:val="009A16CE"/>
    <w:rsid w:val="009A1B0F"/>
    <w:rsid w:val="009A1E69"/>
    <w:rsid w:val="009A37F7"/>
    <w:rsid w:val="009A4345"/>
    <w:rsid w:val="009A499C"/>
    <w:rsid w:val="009A50D6"/>
    <w:rsid w:val="009A50DC"/>
    <w:rsid w:val="009A595C"/>
    <w:rsid w:val="009A5B90"/>
    <w:rsid w:val="009A6786"/>
    <w:rsid w:val="009A6880"/>
    <w:rsid w:val="009A6AE7"/>
    <w:rsid w:val="009A7808"/>
    <w:rsid w:val="009A7C35"/>
    <w:rsid w:val="009B01D8"/>
    <w:rsid w:val="009B0CDC"/>
    <w:rsid w:val="009B0DE2"/>
    <w:rsid w:val="009B0FBE"/>
    <w:rsid w:val="009B19D5"/>
    <w:rsid w:val="009B27D5"/>
    <w:rsid w:val="009B3F19"/>
    <w:rsid w:val="009B4B37"/>
    <w:rsid w:val="009B4BB6"/>
    <w:rsid w:val="009B6478"/>
    <w:rsid w:val="009B7217"/>
    <w:rsid w:val="009B77F8"/>
    <w:rsid w:val="009C0165"/>
    <w:rsid w:val="009C04B6"/>
    <w:rsid w:val="009C0F85"/>
    <w:rsid w:val="009C1276"/>
    <w:rsid w:val="009C14E4"/>
    <w:rsid w:val="009C2BD9"/>
    <w:rsid w:val="009C2CA0"/>
    <w:rsid w:val="009C2F9E"/>
    <w:rsid w:val="009C3502"/>
    <w:rsid w:val="009C413E"/>
    <w:rsid w:val="009C4E79"/>
    <w:rsid w:val="009C5050"/>
    <w:rsid w:val="009C5EF1"/>
    <w:rsid w:val="009C63B7"/>
    <w:rsid w:val="009C682A"/>
    <w:rsid w:val="009C6BFA"/>
    <w:rsid w:val="009C784E"/>
    <w:rsid w:val="009D0C14"/>
    <w:rsid w:val="009D106C"/>
    <w:rsid w:val="009D144B"/>
    <w:rsid w:val="009D1932"/>
    <w:rsid w:val="009D229C"/>
    <w:rsid w:val="009D336F"/>
    <w:rsid w:val="009D348F"/>
    <w:rsid w:val="009D3CF9"/>
    <w:rsid w:val="009D3ED1"/>
    <w:rsid w:val="009D47CE"/>
    <w:rsid w:val="009D4C1D"/>
    <w:rsid w:val="009D5274"/>
    <w:rsid w:val="009D53CE"/>
    <w:rsid w:val="009D542B"/>
    <w:rsid w:val="009D56DA"/>
    <w:rsid w:val="009D573F"/>
    <w:rsid w:val="009D6B0D"/>
    <w:rsid w:val="009D6C1B"/>
    <w:rsid w:val="009D7115"/>
    <w:rsid w:val="009D74F9"/>
    <w:rsid w:val="009D7640"/>
    <w:rsid w:val="009E10D7"/>
    <w:rsid w:val="009E295D"/>
    <w:rsid w:val="009E33B4"/>
    <w:rsid w:val="009E3A3D"/>
    <w:rsid w:val="009E3BC4"/>
    <w:rsid w:val="009E44AF"/>
    <w:rsid w:val="009E5623"/>
    <w:rsid w:val="009E5DC7"/>
    <w:rsid w:val="009E5F50"/>
    <w:rsid w:val="009E6005"/>
    <w:rsid w:val="009E6599"/>
    <w:rsid w:val="009E6825"/>
    <w:rsid w:val="009E74A9"/>
    <w:rsid w:val="009E7B17"/>
    <w:rsid w:val="009E7F96"/>
    <w:rsid w:val="009F053E"/>
    <w:rsid w:val="009F095B"/>
    <w:rsid w:val="009F2603"/>
    <w:rsid w:val="009F266E"/>
    <w:rsid w:val="009F2768"/>
    <w:rsid w:val="009F3491"/>
    <w:rsid w:val="009F418A"/>
    <w:rsid w:val="009F42F1"/>
    <w:rsid w:val="009F5908"/>
    <w:rsid w:val="009F5BD0"/>
    <w:rsid w:val="009F5BDB"/>
    <w:rsid w:val="009F600D"/>
    <w:rsid w:val="009F6971"/>
    <w:rsid w:val="009F69F6"/>
    <w:rsid w:val="009F6C7F"/>
    <w:rsid w:val="009F6D1B"/>
    <w:rsid w:val="009F713A"/>
    <w:rsid w:val="009F747A"/>
    <w:rsid w:val="009F7D66"/>
    <w:rsid w:val="00A0075B"/>
    <w:rsid w:val="00A00AA4"/>
    <w:rsid w:val="00A00C97"/>
    <w:rsid w:val="00A00EF2"/>
    <w:rsid w:val="00A0116C"/>
    <w:rsid w:val="00A0143A"/>
    <w:rsid w:val="00A0214C"/>
    <w:rsid w:val="00A02618"/>
    <w:rsid w:val="00A02DCE"/>
    <w:rsid w:val="00A03312"/>
    <w:rsid w:val="00A036A6"/>
    <w:rsid w:val="00A03E32"/>
    <w:rsid w:val="00A043B9"/>
    <w:rsid w:val="00A04609"/>
    <w:rsid w:val="00A04A00"/>
    <w:rsid w:val="00A053DD"/>
    <w:rsid w:val="00A0559B"/>
    <w:rsid w:val="00A06DE7"/>
    <w:rsid w:val="00A075A7"/>
    <w:rsid w:val="00A10A1B"/>
    <w:rsid w:val="00A10DA3"/>
    <w:rsid w:val="00A1143D"/>
    <w:rsid w:val="00A11491"/>
    <w:rsid w:val="00A11703"/>
    <w:rsid w:val="00A11A30"/>
    <w:rsid w:val="00A1243C"/>
    <w:rsid w:val="00A12C77"/>
    <w:rsid w:val="00A130E4"/>
    <w:rsid w:val="00A13FD3"/>
    <w:rsid w:val="00A141D6"/>
    <w:rsid w:val="00A14200"/>
    <w:rsid w:val="00A14571"/>
    <w:rsid w:val="00A14DD4"/>
    <w:rsid w:val="00A1562C"/>
    <w:rsid w:val="00A156D8"/>
    <w:rsid w:val="00A17251"/>
    <w:rsid w:val="00A17B7A"/>
    <w:rsid w:val="00A201A2"/>
    <w:rsid w:val="00A2036B"/>
    <w:rsid w:val="00A216D6"/>
    <w:rsid w:val="00A21C9C"/>
    <w:rsid w:val="00A21E4D"/>
    <w:rsid w:val="00A236B1"/>
    <w:rsid w:val="00A23B84"/>
    <w:rsid w:val="00A23E02"/>
    <w:rsid w:val="00A24F9C"/>
    <w:rsid w:val="00A253A5"/>
    <w:rsid w:val="00A26A89"/>
    <w:rsid w:val="00A3008E"/>
    <w:rsid w:val="00A30AB8"/>
    <w:rsid w:val="00A30B23"/>
    <w:rsid w:val="00A3118F"/>
    <w:rsid w:val="00A318FF"/>
    <w:rsid w:val="00A31C5F"/>
    <w:rsid w:val="00A31FFD"/>
    <w:rsid w:val="00A32626"/>
    <w:rsid w:val="00A32B48"/>
    <w:rsid w:val="00A33202"/>
    <w:rsid w:val="00A354D7"/>
    <w:rsid w:val="00A35656"/>
    <w:rsid w:val="00A35A58"/>
    <w:rsid w:val="00A35B44"/>
    <w:rsid w:val="00A36C35"/>
    <w:rsid w:val="00A372B8"/>
    <w:rsid w:val="00A3752E"/>
    <w:rsid w:val="00A377BB"/>
    <w:rsid w:val="00A40AE9"/>
    <w:rsid w:val="00A41B53"/>
    <w:rsid w:val="00A4202B"/>
    <w:rsid w:val="00A42331"/>
    <w:rsid w:val="00A42411"/>
    <w:rsid w:val="00A42D9C"/>
    <w:rsid w:val="00A43044"/>
    <w:rsid w:val="00A43082"/>
    <w:rsid w:val="00A4325F"/>
    <w:rsid w:val="00A43A32"/>
    <w:rsid w:val="00A44FAB"/>
    <w:rsid w:val="00A45501"/>
    <w:rsid w:val="00A45541"/>
    <w:rsid w:val="00A4715D"/>
    <w:rsid w:val="00A475AA"/>
    <w:rsid w:val="00A47673"/>
    <w:rsid w:val="00A47843"/>
    <w:rsid w:val="00A47CB2"/>
    <w:rsid w:val="00A47D38"/>
    <w:rsid w:val="00A5025C"/>
    <w:rsid w:val="00A5172C"/>
    <w:rsid w:val="00A51978"/>
    <w:rsid w:val="00A520B5"/>
    <w:rsid w:val="00A533D1"/>
    <w:rsid w:val="00A53BC7"/>
    <w:rsid w:val="00A53F93"/>
    <w:rsid w:val="00A543E8"/>
    <w:rsid w:val="00A54561"/>
    <w:rsid w:val="00A547B7"/>
    <w:rsid w:val="00A54CBE"/>
    <w:rsid w:val="00A5557A"/>
    <w:rsid w:val="00A5578E"/>
    <w:rsid w:val="00A55D4C"/>
    <w:rsid w:val="00A569C1"/>
    <w:rsid w:val="00A572E4"/>
    <w:rsid w:val="00A5779F"/>
    <w:rsid w:val="00A57D44"/>
    <w:rsid w:val="00A6055F"/>
    <w:rsid w:val="00A60A2A"/>
    <w:rsid w:val="00A60E40"/>
    <w:rsid w:val="00A61C11"/>
    <w:rsid w:val="00A62E53"/>
    <w:rsid w:val="00A63255"/>
    <w:rsid w:val="00A638E2"/>
    <w:rsid w:val="00A6391D"/>
    <w:rsid w:val="00A6490E"/>
    <w:rsid w:val="00A654DE"/>
    <w:rsid w:val="00A655BB"/>
    <w:rsid w:val="00A662DF"/>
    <w:rsid w:val="00A66BDF"/>
    <w:rsid w:val="00A67AF6"/>
    <w:rsid w:val="00A67F88"/>
    <w:rsid w:val="00A70194"/>
    <w:rsid w:val="00A7064E"/>
    <w:rsid w:val="00A70AA5"/>
    <w:rsid w:val="00A70EBC"/>
    <w:rsid w:val="00A7135A"/>
    <w:rsid w:val="00A71C7B"/>
    <w:rsid w:val="00A71F84"/>
    <w:rsid w:val="00A72319"/>
    <w:rsid w:val="00A72741"/>
    <w:rsid w:val="00A72BA0"/>
    <w:rsid w:val="00A72C99"/>
    <w:rsid w:val="00A72CCA"/>
    <w:rsid w:val="00A73350"/>
    <w:rsid w:val="00A738DD"/>
    <w:rsid w:val="00A74550"/>
    <w:rsid w:val="00A74B7C"/>
    <w:rsid w:val="00A74EB3"/>
    <w:rsid w:val="00A761C9"/>
    <w:rsid w:val="00A771FB"/>
    <w:rsid w:val="00A7791B"/>
    <w:rsid w:val="00A77BF7"/>
    <w:rsid w:val="00A807A2"/>
    <w:rsid w:val="00A80996"/>
    <w:rsid w:val="00A80E04"/>
    <w:rsid w:val="00A8168B"/>
    <w:rsid w:val="00A81D85"/>
    <w:rsid w:val="00A83330"/>
    <w:rsid w:val="00A83C00"/>
    <w:rsid w:val="00A84B5D"/>
    <w:rsid w:val="00A853FA"/>
    <w:rsid w:val="00A856B5"/>
    <w:rsid w:val="00A85D4F"/>
    <w:rsid w:val="00A8635C"/>
    <w:rsid w:val="00A90817"/>
    <w:rsid w:val="00A913B3"/>
    <w:rsid w:val="00A91AE0"/>
    <w:rsid w:val="00A91D8F"/>
    <w:rsid w:val="00A936A2"/>
    <w:rsid w:val="00A937CA"/>
    <w:rsid w:val="00A93CC4"/>
    <w:rsid w:val="00A948DF"/>
    <w:rsid w:val="00A94B09"/>
    <w:rsid w:val="00A951EB"/>
    <w:rsid w:val="00A959DE"/>
    <w:rsid w:val="00A95E5A"/>
    <w:rsid w:val="00A968C0"/>
    <w:rsid w:val="00A9773F"/>
    <w:rsid w:val="00AA0CA5"/>
    <w:rsid w:val="00AA1089"/>
    <w:rsid w:val="00AA2A74"/>
    <w:rsid w:val="00AA3F33"/>
    <w:rsid w:val="00AA4274"/>
    <w:rsid w:val="00AA460E"/>
    <w:rsid w:val="00AA48CD"/>
    <w:rsid w:val="00AA4CAF"/>
    <w:rsid w:val="00AA508F"/>
    <w:rsid w:val="00AA51B2"/>
    <w:rsid w:val="00AA5318"/>
    <w:rsid w:val="00AA5B5A"/>
    <w:rsid w:val="00AA5C1F"/>
    <w:rsid w:val="00AA64F5"/>
    <w:rsid w:val="00AA6B5B"/>
    <w:rsid w:val="00AA6DF3"/>
    <w:rsid w:val="00AA746C"/>
    <w:rsid w:val="00AA7633"/>
    <w:rsid w:val="00AA7B63"/>
    <w:rsid w:val="00AB0CDD"/>
    <w:rsid w:val="00AB10E3"/>
    <w:rsid w:val="00AB21E6"/>
    <w:rsid w:val="00AB23F9"/>
    <w:rsid w:val="00AB2975"/>
    <w:rsid w:val="00AB2D7D"/>
    <w:rsid w:val="00AB3573"/>
    <w:rsid w:val="00AB3825"/>
    <w:rsid w:val="00AB395E"/>
    <w:rsid w:val="00AB49B9"/>
    <w:rsid w:val="00AB4D7D"/>
    <w:rsid w:val="00AB5443"/>
    <w:rsid w:val="00AB5B9B"/>
    <w:rsid w:val="00AB5E27"/>
    <w:rsid w:val="00AB5F09"/>
    <w:rsid w:val="00AB6095"/>
    <w:rsid w:val="00AB66F8"/>
    <w:rsid w:val="00AB74E0"/>
    <w:rsid w:val="00AB7E02"/>
    <w:rsid w:val="00AC05DE"/>
    <w:rsid w:val="00AC09CE"/>
    <w:rsid w:val="00AC25E5"/>
    <w:rsid w:val="00AC2928"/>
    <w:rsid w:val="00AC296B"/>
    <w:rsid w:val="00AC2ECC"/>
    <w:rsid w:val="00AC3515"/>
    <w:rsid w:val="00AC37E8"/>
    <w:rsid w:val="00AC4EDE"/>
    <w:rsid w:val="00AC5130"/>
    <w:rsid w:val="00AC5A1D"/>
    <w:rsid w:val="00AC5ACA"/>
    <w:rsid w:val="00AC6052"/>
    <w:rsid w:val="00AC6C74"/>
    <w:rsid w:val="00AC78BF"/>
    <w:rsid w:val="00AD0164"/>
    <w:rsid w:val="00AD08E5"/>
    <w:rsid w:val="00AD2713"/>
    <w:rsid w:val="00AD2DF5"/>
    <w:rsid w:val="00AD30CB"/>
    <w:rsid w:val="00AD32E7"/>
    <w:rsid w:val="00AD472B"/>
    <w:rsid w:val="00AD5925"/>
    <w:rsid w:val="00AD5C81"/>
    <w:rsid w:val="00AD5CC0"/>
    <w:rsid w:val="00AD6581"/>
    <w:rsid w:val="00AD6686"/>
    <w:rsid w:val="00AD7270"/>
    <w:rsid w:val="00ADED39"/>
    <w:rsid w:val="00AE0007"/>
    <w:rsid w:val="00AE03C1"/>
    <w:rsid w:val="00AE06E0"/>
    <w:rsid w:val="00AE1093"/>
    <w:rsid w:val="00AE26B5"/>
    <w:rsid w:val="00AE2946"/>
    <w:rsid w:val="00AE3E1A"/>
    <w:rsid w:val="00AE3EB3"/>
    <w:rsid w:val="00AE420F"/>
    <w:rsid w:val="00AE45DC"/>
    <w:rsid w:val="00AE4FE3"/>
    <w:rsid w:val="00AE51E5"/>
    <w:rsid w:val="00AE52EF"/>
    <w:rsid w:val="00AE697A"/>
    <w:rsid w:val="00AE6BB2"/>
    <w:rsid w:val="00AE7946"/>
    <w:rsid w:val="00AE7E05"/>
    <w:rsid w:val="00AED0CF"/>
    <w:rsid w:val="00AF0273"/>
    <w:rsid w:val="00AF14F7"/>
    <w:rsid w:val="00AF17A6"/>
    <w:rsid w:val="00AF1F7C"/>
    <w:rsid w:val="00AF2B76"/>
    <w:rsid w:val="00AF2D8F"/>
    <w:rsid w:val="00AF3692"/>
    <w:rsid w:val="00AF38A8"/>
    <w:rsid w:val="00AF3CA0"/>
    <w:rsid w:val="00AF4535"/>
    <w:rsid w:val="00AF45A1"/>
    <w:rsid w:val="00AF54ED"/>
    <w:rsid w:val="00AF5A45"/>
    <w:rsid w:val="00AF5DF0"/>
    <w:rsid w:val="00AF7A14"/>
    <w:rsid w:val="00AF7D48"/>
    <w:rsid w:val="00B01595"/>
    <w:rsid w:val="00B018B8"/>
    <w:rsid w:val="00B020E9"/>
    <w:rsid w:val="00B04C9D"/>
    <w:rsid w:val="00B05352"/>
    <w:rsid w:val="00B05ADE"/>
    <w:rsid w:val="00B06119"/>
    <w:rsid w:val="00B0663A"/>
    <w:rsid w:val="00B06BEF"/>
    <w:rsid w:val="00B07168"/>
    <w:rsid w:val="00B071FF"/>
    <w:rsid w:val="00B076CF"/>
    <w:rsid w:val="00B10DB2"/>
    <w:rsid w:val="00B10F62"/>
    <w:rsid w:val="00B1142B"/>
    <w:rsid w:val="00B11CF6"/>
    <w:rsid w:val="00B11D7F"/>
    <w:rsid w:val="00B12112"/>
    <w:rsid w:val="00B14D44"/>
    <w:rsid w:val="00B15598"/>
    <w:rsid w:val="00B155CC"/>
    <w:rsid w:val="00B156A1"/>
    <w:rsid w:val="00B1730B"/>
    <w:rsid w:val="00B173AC"/>
    <w:rsid w:val="00B1777F"/>
    <w:rsid w:val="00B20046"/>
    <w:rsid w:val="00B207D6"/>
    <w:rsid w:val="00B20DD3"/>
    <w:rsid w:val="00B210CC"/>
    <w:rsid w:val="00B2134F"/>
    <w:rsid w:val="00B21E82"/>
    <w:rsid w:val="00B220F4"/>
    <w:rsid w:val="00B22540"/>
    <w:rsid w:val="00B23805"/>
    <w:rsid w:val="00B23B3F"/>
    <w:rsid w:val="00B23C14"/>
    <w:rsid w:val="00B23D2B"/>
    <w:rsid w:val="00B23EF3"/>
    <w:rsid w:val="00B2453A"/>
    <w:rsid w:val="00B24F00"/>
    <w:rsid w:val="00B24FD8"/>
    <w:rsid w:val="00B255FC"/>
    <w:rsid w:val="00B26184"/>
    <w:rsid w:val="00B2634B"/>
    <w:rsid w:val="00B27B78"/>
    <w:rsid w:val="00B317D2"/>
    <w:rsid w:val="00B323D5"/>
    <w:rsid w:val="00B3286E"/>
    <w:rsid w:val="00B33694"/>
    <w:rsid w:val="00B33793"/>
    <w:rsid w:val="00B34558"/>
    <w:rsid w:val="00B345AD"/>
    <w:rsid w:val="00B345AF"/>
    <w:rsid w:val="00B34656"/>
    <w:rsid w:val="00B35E71"/>
    <w:rsid w:val="00B364C5"/>
    <w:rsid w:val="00B3655F"/>
    <w:rsid w:val="00B36975"/>
    <w:rsid w:val="00B36BCD"/>
    <w:rsid w:val="00B36CDF"/>
    <w:rsid w:val="00B37270"/>
    <w:rsid w:val="00B4067A"/>
    <w:rsid w:val="00B40A81"/>
    <w:rsid w:val="00B42171"/>
    <w:rsid w:val="00B43023"/>
    <w:rsid w:val="00B439B5"/>
    <w:rsid w:val="00B446B9"/>
    <w:rsid w:val="00B4535A"/>
    <w:rsid w:val="00B45CC3"/>
    <w:rsid w:val="00B465D4"/>
    <w:rsid w:val="00B46695"/>
    <w:rsid w:val="00B469F8"/>
    <w:rsid w:val="00B46B1C"/>
    <w:rsid w:val="00B47A5A"/>
    <w:rsid w:val="00B47AB2"/>
    <w:rsid w:val="00B51428"/>
    <w:rsid w:val="00B51D75"/>
    <w:rsid w:val="00B51F54"/>
    <w:rsid w:val="00B5443A"/>
    <w:rsid w:val="00B54506"/>
    <w:rsid w:val="00B546B0"/>
    <w:rsid w:val="00B54EC9"/>
    <w:rsid w:val="00B55661"/>
    <w:rsid w:val="00B55A6A"/>
    <w:rsid w:val="00B56E6A"/>
    <w:rsid w:val="00B57518"/>
    <w:rsid w:val="00B57DD2"/>
    <w:rsid w:val="00B60EA5"/>
    <w:rsid w:val="00B60FB7"/>
    <w:rsid w:val="00B6143A"/>
    <w:rsid w:val="00B61D27"/>
    <w:rsid w:val="00B62044"/>
    <w:rsid w:val="00B62A79"/>
    <w:rsid w:val="00B636EB"/>
    <w:rsid w:val="00B647B9"/>
    <w:rsid w:val="00B64A53"/>
    <w:rsid w:val="00B64B04"/>
    <w:rsid w:val="00B6616E"/>
    <w:rsid w:val="00B67022"/>
    <w:rsid w:val="00B67206"/>
    <w:rsid w:val="00B67657"/>
    <w:rsid w:val="00B67F60"/>
    <w:rsid w:val="00B70A7C"/>
    <w:rsid w:val="00B72B2B"/>
    <w:rsid w:val="00B737C8"/>
    <w:rsid w:val="00B73944"/>
    <w:rsid w:val="00B74F82"/>
    <w:rsid w:val="00B75991"/>
    <w:rsid w:val="00B76156"/>
    <w:rsid w:val="00B766D9"/>
    <w:rsid w:val="00B767F6"/>
    <w:rsid w:val="00B77A1B"/>
    <w:rsid w:val="00B77BDA"/>
    <w:rsid w:val="00B8088D"/>
    <w:rsid w:val="00B821A7"/>
    <w:rsid w:val="00B82572"/>
    <w:rsid w:val="00B8377C"/>
    <w:rsid w:val="00B838BB"/>
    <w:rsid w:val="00B83F62"/>
    <w:rsid w:val="00B85550"/>
    <w:rsid w:val="00B855E0"/>
    <w:rsid w:val="00B85CC9"/>
    <w:rsid w:val="00B85FB3"/>
    <w:rsid w:val="00B86534"/>
    <w:rsid w:val="00B865F4"/>
    <w:rsid w:val="00B86DAD"/>
    <w:rsid w:val="00B874FB"/>
    <w:rsid w:val="00B878A3"/>
    <w:rsid w:val="00B910CC"/>
    <w:rsid w:val="00B91912"/>
    <w:rsid w:val="00B929B4"/>
    <w:rsid w:val="00B92C12"/>
    <w:rsid w:val="00B93522"/>
    <w:rsid w:val="00B948C1"/>
    <w:rsid w:val="00B956CD"/>
    <w:rsid w:val="00B96585"/>
    <w:rsid w:val="00B9785B"/>
    <w:rsid w:val="00B97E1C"/>
    <w:rsid w:val="00BA00D6"/>
    <w:rsid w:val="00BA0A81"/>
    <w:rsid w:val="00BA1AD4"/>
    <w:rsid w:val="00BA1F29"/>
    <w:rsid w:val="00BA2C61"/>
    <w:rsid w:val="00BA33FA"/>
    <w:rsid w:val="00BA49D7"/>
    <w:rsid w:val="00BA4DA6"/>
    <w:rsid w:val="00BA5243"/>
    <w:rsid w:val="00BA524F"/>
    <w:rsid w:val="00BA5EF5"/>
    <w:rsid w:val="00BA608F"/>
    <w:rsid w:val="00BA60C6"/>
    <w:rsid w:val="00BA61DD"/>
    <w:rsid w:val="00BA640D"/>
    <w:rsid w:val="00BA6F87"/>
    <w:rsid w:val="00BA706B"/>
    <w:rsid w:val="00BA7BDA"/>
    <w:rsid w:val="00BA7D7B"/>
    <w:rsid w:val="00BB016F"/>
    <w:rsid w:val="00BB01D9"/>
    <w:rsid w:val="00BB03C3"/>
    <w:rsid w:val="00BB2198"/>
    <w:rsid w:val="00BB22A6"/>
    <w:rsid w:val="00BB238E"/>
    <w:rsid w:val="00BB4AD7"/>
    <w:rsid w:val="00BB50CA"/>
    <w:rsid w:val="00BB593D"/>
    <w:rsid w:val="00BB5B42"/>
    <w:rsid w:val="00BC0B6D"/>
    <w:rsid w:val="00BC1628"/>
    <w:rsid w:val="00BC240F"/>
    <w:rsid w:val="00BC2559"/>
    <w:rsid w:val="00BC2A44"/>
    <w:rsid w:val="00BC2B02"/>
    <w:rsid w:val="00BC3093"/>
    <w:rsid w:val="00BC40FB"/>
    <w:rsid w:val="00BC4A7E"/>
    <w:rsid w:val="00BC539D"/>
    <w:rsid w:val="00BC649C"/>
    <w:rsid w:val="00BC7395"/>
    <w:rsid w:val="00BC7EB8"/>
    <w:rsid w:val="00BD0152"/>
    <w:rsid w:val="00BD0726"/>
    <w:rsid w:val="00BD100C"/>
    <w:rsid w:val="00BD3456"/>
    <w:rsid w:val="00BD3B85"/>
    <w:rsid w:val="00BD3E12"/>
    <w:rsid w:val="00BD3F93"/>
    <w:rsid w:val="00BD4405"/>
    <w:rsid w:val="00BD76C7"/>
    <w:rsid w:val="00BD7972"/>
    <w:rsid w:val="00BE0571"/>
    <w:rsid w:val="00BE0DF6"/>
    <w:rsid w:val="00BE150F"/>
    <w:rsid w:val="00BE156F"/>
    <w:rsid w:val="00BE2933"/>
    <w:rsid w:val="00BE3115"/>
    <w:rsid w:val="00BE3AEF"/>
    <w:rsid w:val="00BE42CA"/>
    <w:rsid w:val="00BE44E9"/>
    <w:rsid w:val="00BE4605"/>
    <w:rsid w:val="00BE46C6"/>
    <w:rsid w:val="00BE498B"/>
    <w:rsid w:val="00BE4B84"/>
    <w:rsid w:val="00BE4FBF"/>
    <w:rsid w:val="00BE5C29"/>
    <w:rsid w:val="00BE5E45"/>
    <w:rsid w:val="00BE5F03"/>
    <w:rsid w:val="00BE601A"/>
    <w:rsid w:val="00BE67D9"/>
    <w:rsid w:val="00BF0778"/>
    <w:rsid w:val="00BF1127"/>
    <w:rsid w:val="00BF13D7"/>
    <w:rsid w:val="00BF1513"/>
    <w:rsid w:val="00BF18A7"/>
    <w:rsid w:val="00BF1A49"/>
    <w:rsid w:val="00BF1DEC"/>
    <w:rsid w:val="00BF1EE0"/>
    <w:rsid w:val="00BF2FD4"/>
    <w:rsid w:val="00BF3183"/>
    <w:rsid w:val="00BF397B"/>
    <w:rsid w:val="00BF3A6E"/>
    <w:rsid w:val="00BF5348"/>
    <w:rsid w:val="00BF60A5"/>
    <w:rsid w:val="00BF6677"/>
    <w:rsid w:val="00BF685E"/>
    <w:rsid w:val="00BF6CAE"/>
    <w:rsid w:val="00BF706C"/>
    <w:rsid w:val="00BF7CCC"/>
    <w:rsid w:val="00C008A7"/>
    <w:rsid w:val="00C015DA"/>
    <w:rsid w:val="00C01EA2"/>
    <w:rsid w:val="00C020D6"/>
    <w:rsid w:val="00C02655"/>
    <w:rsid w:val="00C02998"/>
    <w:rsid w:val="00C03DDB"/>
    <w:rsid w:val="00C049F4"/>
    <w:rsid w:val="00C04BF2"/>
    <w:rsid w:val="00C056DC"/>
    <w:rsid w:val="00C0678E"/>
    <w:rsid w:val="00C068E6"/>
    <w:rsid w:val="00C06B0A"/>
    <w:rsid w:val="00C074F8"/>
    <w:rsid w:val="00C0788C"/>
    <w:rsid w:val="00C101B7"/>
    <w:rsid w:val="00C10EC1"/>
    <w:rsid w:val="00C11DD6"/>
    <w:rsid w:val="00C12300"/>
    <w:rsid w:val="00C13042"/>
    <w:rsid w:val="00C13104"/>
    <w:rsid w:val="00C13F8C"/>
    <w:rsid w:val="00C14408"/>
    <w:rsid w:val="00C14A64"/>
    <w:rsid w:val="00C15574"/>
    <w:rsid w:val="00C1560E"/>
    <w:rsid w:val="00C162C4"/>
    <w:rsid w:val="00C1676E"/>
    <w:rsid w:val="00C16B0F"/>
    <w:rsid w:val="00C178B1"/>
    <w:rsid w:val="00C208B8"/>
    <w:rsid w:val="00C212C4"/>
    <w:rsid w:val="00C21CA0"/>
    <w:rsid w:val="00C2251F"/>
    <w:rsid w:val="00C2314B"/>
    <w:rsid w:val="00C23177"/>
    <w:rsid w:val="00C241B2"/>
    <w:rsid w:val="00C2568F"/>
    <w:rsid w:val="00C260A3"/>
    <w:rsid w:val="00C265A8"/>
    <w:rsid w:val="00C2694A"/>
    <w:rsid w:val="00C27A54"/>
    <w:rsid w:val="00C27F0C"/>
    <w:rsid w:val="00C3017B"/>
    <w:rsid w:val="00C3168F"/>
    <w:rsid w:val="00C31F4B"/>
    <w:rsid w:val="00C31FCC"/>
    <w:rsid w:val="00C32AAD"/>
    <w:rsid w:val="00C32CB0"/>
    <w:rsid w:val="00C332D8"/>
    <w:rsid w:val="00C34181"/>
    <w:rsid w:val="00C34373"/>
    <w:rsid w:val="00C34645"/>
    <w:rsid w:val="00C34C0A"/>
    <w:rsid w:val="00C34C5F"/>
    <w:rsid w:val="00C361E8"/>
    <w:rsid w:val="00C3637E"/>
    <w:rsid w:val="00C368B6"/>
    <w:rsid w:val="00C37B1E"/>
    <w:rsid w:val="00C41C96"/>
    <w:rsid w:val="00C42921"/>
    <w:rsid w:val="00C43BDC"/>
    <w:rsid w:val="00C44B46"/>
    <w:rsid w:val="00C46DE1"/>
    <w:rsid w:val="00C4709C"/>
    <w:rsid w:val="00C472CE"/>
    <w:rsid w:val="00C479DB"/>
    <w:rsid w:val="00C47E53"/>
    <w:rsid w:val="00C50051"/>
    <w:rsid w:val="00C500C9"/>
    <w:rsid w:val="00C5095E"/>
    <w:rsid w:val="00C50A58"/>
    <w:rsid w:val="00C50EA2"/>
    <w:rsid w:val="00C50EA7"/>
    <w:rsid w:val="00C51246"/>
    <w:rsid w:val="00C53381"/>
    <w:rsid w:val="00C53549"/>
    <w:rsid w:val="00C543B9"/>
    <w:rsid w:val="00C54A13"/>
    <w:rsid w:val="00C554D3"/>
    <w:rsid w:val="00C55599"/>
    <w:rsid w:val="00C55F00"/>
    <w:rsid w:val="00C56164"/>
    <w:rsid w:val="00C561CA"/>
    <w:rsid w:val="00C56CD6"/>
    <w:rsid w:val="00C5789D"/>
    <w:rsid w:val="00C6045D"/>
    <w:rsid w:val="00C60957"/>
    <w:rsid w:val="00C6130B"/>
    <w:rsid w:val="00C61A02"/>
    <w:rsid w:val="00C61D26"/>
    <w:rsid w:val="00C62AB0"/>
    <w:rsid w:val="00C633C3"/>
    <w:rsid w:val="00C633EB"/>
    <w:rsid w:val="00C64010"/>
    <w:rsid w:val="00C644CB"/>
    <w:rsid w:val="00C64B4A"/>
    <w:rsid w:val="00C65356"/>
    <w:rsid w:val="00C655ED"/>
    <w:rsid w:val="00C65963"/>
    <w:rsid w:val="00C659E4"/>
    <w:rsid w:val="00C65F4F"/>
    <w:rsid w:val="00C664CB"/>
    <w:rsid w:val="00C665F4"/>
    <w:rsid w:val="00C6674B"/>
    <w:rsid w:val="00C667E1"/>
    <w:rsid w:val="00C67062"/>
    <w:rsid w:val="00C6713B"/>
    <w:rsid w:val="00C6749C"/>
    <w:rsid w:val="00C70671"/>
    <w:rsid w:val="00C71468"/>
    <w:rsid w:val="00C71593"/>
    <w:rsid w:val="00C71D30"/>
    <w:rsid w:val="00C71DD7"/>
    <w:rsid w:val="00C72F06"/>
    <w:rsid w:val="00C740B6"/>
    <w:rsid w:val="00C7417D"/>
    <w:rsid w:val="00C74506"/>
    <w:rsid w:val="00C749FA"/>
    <w:rsid w:val="00C74C7D"/>
    <w:rsid w:val="00C753EE"/>
    <w:rsid w:val="00C75607"/>
    <w:rsid w:val="00C759DC"/>
    <w:rsid w:val="00C761AB"/>
    <w:rsid w:val="00C7629D"/>
    <w:rsid w:val="00C76BBA"/>
    <w:rsid w:val="00C77256"/>
    <w:rsid w:val="00C77CE5"/>
    <w:rsid w:val="00C77F34"/>
    <w:rsid w:val="00C8072F"/>
    <w:rsid w:val="00C829DA"/>
    <w:rsid w:val="00C82E2B"/>
    <w:rsid w:val="00C83580"/>
    <w:rsid w:val="00C842F4"/>
    <w:rsid w:val="00C8444D"/>
    <w:rsid w:val="00C847F7"/>
    <w:rsid w:val="00C84C7A"/>
    <w:rsid w:val="00C86EF3"/>
    <w:rsid w:val="00C87019"/>
    <w:rsid w:val="00C87A3B"/>
    <w:rsid w:val="00C87AA4"/>
    <w:rsid w:val="00C87DF2"/>
    <w:rsid w:val="00C90130"/>
    <w:rsid w:val="00C9014F"/>
    <w:rsid w:val="00C92049"/>
    <w:rsid w:val="00C92458"/>
    <w:rsid w:val="00C92D41"/>
    <w:rsid w:val="00C930C1"/>
    <w:rsid w:val="00C93770"/>
    <w:rsid w:val="00C94548"/>
    <w:rsid w:val="00C94B36"/>
    <w:rsid w:val="00C94B5F"/>
    <w:rsid w:val="00C94F82"/>
    <w:rsid w:val="00C961C9"/>
    <w:rsid w:val="00C97A19"/>
    <w:rsid w:val="00CA0E2B"/>
    <w:rsid w:val="00CA2860"/>
    <w:rsid w:val="00CA32D1"/>
    <w:rsid w:val="00CA3831"/>
    <w:rsid w:val="00CA4D11"/>
    <w:rsid w:val="00CA6E30"/>
    <w:rsid w:val="00CA7B8D"/>
    <w:rsid w:val="00CB0A08"/>
    <w:rsid w:val="00CB123F"/>
    <w:rsid w:val="00CB20C8"/>
    <w:rsid w:val="00CB3485"/>
    <w:rsid w:val="00CB48E6"/>
    <w:rsid w:val="00CB5A85"/>
    <w:rsid w:val="00CB61E3"/>
    <w:rsid w:val="00CB6B51"/>
    <w:rsid w:val="00CB72E6"/>
    <w:rsid w:val="00CC1917"/>
    <w:rsid w:val="00CC1B0C"/>
    <w:rsid w:val="00CC2270"/>
    <w:rsid w:val="00CC3BC0"/>
    <w:rsid w:val="00CC4582"/>
    <w:rsid w:val="00CC472B"/>
    <w:rsid w:val="00CC4927"/>
    <w:rsid w:val="00CC4B5F"/>
    <w:rsid w:val="00CC4BDC"/>
    <w:rsid w:val="00CC4D8A"/>
    <w:rsid w:val="00CC4ED8"/>
    <w:rsid w:val="00CC716B"/>
    <w:rsid w:val="00CC7C90"/>
    <w:rsid w:val="00CD0FF8"/>
    <w:rsid w:val="00CD1303"/>
    <w:rsid w:val="00CD3230"/>
    <w:rsid w:val="00CD3B42"/>
    <w:rsid w:val="00CD3FD0"/>
    <w:rsid w:val="00CD4A5B"/>
    <w:rsid w:val="00CD555C"/>
    <w:rsid w:val="00CD5840"/>
    <w:rsid w:val="00CD59AE"/>
    <w:rsid w:val="00CD775B"/>
    <w:rsid w:val="00CE005F"/>
    <w:rsid w:val="00CE0688"/>
    <w:rsid w:val="00CE1469"/>
    <w:rsid w:val="00CE16CC"/>
    <w:rsid w:val="00CE1C74"/>
    <w:rsid w:val="00CE1CB4"/>
    <w:rsid w:val="00CE1EF5"/>
    <w:rsid w:val="00CE362E"/>
    <w:rsid w:val="00CE391C"/>
    <w:rsid w:val="00CE3D1A"/>
    <w:rsid w:val="00CE6032"/>
    <w:rsid w:val="00CE6448"/>
    <w:rsid w:val="00CE7431"/>
    <w:rsid w:val="00CE7C81"/>
    <w:rsid w:val="00CE7F36"/>
    <w:rsid w:val="00CF05FE"/>
    <w:rsid w:val="00CF0A89"/>
    <w:rsid w:val="00CF0E3D"/>
    <w:rsid w:val="00CF270F"/>
    <w:rsid w:val="00CF2CB5"/>
    <w:rsid w:val="00CF305B"/>
    <w:rsid w:val="00CF3947"/>
    <w:rsid w:val="00CF4BE9"/>
    <w:rsid w:val="00CF4D1A"/>
    <w:rsid w:val="00CF5A9C"/>
    <w:rsid w:val="00CF5D67"/>
    <w:rsid w:val="00CF6890"/>
    <w:rsid w:val="00CF6D97"/>
    <w:rsid w:val="00CF7AB1"/>
    <w:rsid w:val="00CF7E15"/>
    <w:rsid w:val="00D00DDA"/>
    <w:rsid w:val="00D011C3"/>
    <w:rsid w:val="00D01958"/>
    <w:rsid w:val="00D019F9"/>
    <w:rsid w:val="00D02771"/>
    <w:rsid w:val="00D027F4"/>
    <w:rsid w:val="00D02804"/>
    <w:rsid w:val="00D028F2"/>
    <w:rsid w:val="00D03098"/>
    <w:rsid w:val="00D041B5"/>
    <w:rsid w:val="00D0438B"/>
    <w:rsid w:val="00D049AE"/>
    <w:rsid w:val="00D04DA2"/>
    <w:rsid w:val="00D05DE1"/>
    <w:rsid w:val="00D07211"/>
    <w:rsid w:val="00D0785E"/>
    <w:rsid w:val="00D10353"/>
    <w:rsid w:val="00D1048E"/>
    <w:rsid w:val="00D1061D"/>
    <w:rsid w:val="00D10676"/>
    <w:rsid w:val="00D114E0"/>
    <w:rsid w:val="00D11AA8"/>
    <w:rsid w:val="00D12251"/>
    <w:rsid w:val="00D122EB"/>
    <w:rsid w:val="00D129C0"/>
    <w:rsid w:val="00D134C8"/>
    <w:rsid w:val="00D141CA"/>
    <w:rsid w:val="00D141D4"/>
    <w:rsid w:val="00D143F1"/>
    <w:rsid w:val="00D1473B"/>
    <w:rsid w:val="00D14F01"/>
    <w:rsid w:val="00D14F7C"/>
    <w:rsid w:val="00D15EB3"/>
    <w:rsid w:val="00D16183"/>
    <w:rsid w:val="00D16D08"/>
    <w:rsid w:val="00D16FA4"/>
    <w:rsid w:val="00D1B6B7"/>
    <w:rsid w:val="00D20206"/>
    <w:rsid w:val="00D20315"/>
    <w:rsid w:val="00D20690"/>
    <w:rsid w:val="00D20B10"/>
    <w:rsid w:val="00D20F61"/>
    <w:rsid w:val="00D22587"/>
    <w:rsid w:val="00D2319B"/>
    <w:rsid w:val="00D24961"/>
    <w:rsid w:val="00D25255"/>
    <w:rsid w:val="00D2540C"/>
    <w:rsid w:val="00D263E1"/>
    <w:rsid w:val="00D26CE3"/>
    <w:rsid w:val="00D271C3"/>
    <w:rsid w:val="00D279F9"/>
    <w:rsid w:val="00D27D87"/>
    <w:rsid w:val="00D27EB2"/>
    <w:rsid w:val="00D27F9B"/>
    <w:rsid w:val="00D29B48"/>
    <w:rsid w:val="00D3026C"/>
    <w:rsid w:val="00D30425"/>
    <w:rsid w:val="00D31C39"/>
    <w:rsid w:val="00D31F32"/>
    <w:rsid w:val="00D32947"/>
    <w:rsid w:val="00D32F39"/>
    <w:rsid w:val="00D33217"/>
    <w:rsid w:val="00D342B5"/>
    <w:rsid w:val="00D34879"/>
    <w:rsid w:val="00D348E7"/>
    <w:rsid w:val="00D3521D"/>
    <w:rsid w:val="00D3544C"/>
    <w:rsid w:val="00D354D4"/>
    <w:rsid w:val="00D35C94"/>
    <w:rsid w:val="00D364AA"/>
    <w:rsid w:val="00D365AC"/>
    <w:rsid w:val="00D367E1"/>
    <w:rsid w:val="00D367EF"/>
    <w:rsid w:val="00D36ED1"/>
    <w:rsid w:val="00D40097"/>
    <w:rsid w:val="00D40AD4"/>
    <w:rsid w:val="00D41295"/>
    <w:rsid w:val="00D434DD"/>
    <w:rsid w:val="00D4374E"/>
    <w:rsid w:val="00D43FB3"/>
    <w:rsid w:val="00D44318"/>
    <w:rsid w:val="00D44F68"/>
    <w:rsid w:val="00D457F3"/>
    <w:rsid w:val="00D4606B"/>
    <w:rsid w:val="00D46986"/>
    <w:rsid w:val="00D47774"/>
    <w:rsid w:val="00D479A5"/>
    <w:rsid w:val="00D50450"/>
    <w:rsid w:val="00D5075A"/>
    <w:rsid w:val="00D508C0"/>
    <w:rsid w:val="00D510BC"/>
    <w:rsid w:val="00D51372"/>
    <w:rsid w:val="00D524A6"/>
    <w:rsid w:val="00D5281F"/>
    <w:rsid w:val="00D52ACE"/>
    <w:rsid w:val="00D52DA2"/>
    <w:rsid w:val="00D5303D"/>
    <w:rsid w:val="00D54474"/>
    <w:rsid w:val="00D54D35"/>
    <w:rsid w:val="00D54F16"/>
    <w:rsid w:val="00D55B08"/>
    <w:rsid w:val="00D5640D"/>
    <w:rsid w:val="00D56CCD"/>
    <w:rsid w:val="00D57FE3"/>
    <w:rsid w:val="00D60781"/>
    <w:rsid w:val="00D60CB0"/>
    <w:rsid w:val="00D60CC3"/>
    <w:rsid w:val="00D618D0"/>
    <w:rsid w:val="00D62F12"/>
    <w:rsid w:val="00D63123"/>
    <w:rsid w:val="00D63227"/>
    <w:rsid w:val="00D6374A"/>
    <w:rsid w:val="00D639FC"/>
    <w:rsid w:val="00D63B0E"/>
    <w:rsid w:val="00D64613"/>
    <w:rsid w:val="00D646AD"/>
    <w:rsid w:val="00D647D1"/>
    <w:rsid w:val="00D64D23"/>
    <w:rsid w:val="00D65632"/>
    <w:rsid w:val="00D656CB"/>
    <w:rsid w:val="00D65B2B"/>
    <w:rsid w:val="00D65DC7"/>
    <w:rsid w:val="00D65FAD"/>
    <w:rsid w:val="00D66F4F"/>
    <w:rsid w:val="00D6755F"/>
    <w:rsid w:val="00D67867"/>
    <w:rsid w:val="00D6786A"/>
    <w:rsid w:val="00D6788A"/>
    <w:rsid w:val="00D706EB"/>
    <w:rsid w:val="00D708D2"/>
    <w:rsid w:val="00D70BD4"/>
    <w:rsid w:val="00D70F4C"/>
    <w:rsid w:val="00D71A48"/>
    <w:rsid w:val="00D71F46"/>
    <w:rsid w:val="00D72742"/>
    <w:rsid w:val="00D72895"/>
    <w:rsid w:val="00D76F3C"/>
    <w:rsid w:val="00D776D4"/>
    <w:rsid w:val="00D77D1E"/>
    <w:rsid w:val="00D8005F"/>
    <w:rsid w:val="00D805A0"/>
    <w:rsid w:val="00D80E51"/>
    <w:rsid w:val="00D81732"/>
    <w:rsid w:val="00D830E4"/>
    <w:rsid w:val="00D83553"/>
    <w:rsid w:val="00D8384C"/>
    <w:rsid w:val="00D83BC3"/>
    <w:rsid w:val="00D84FEB"/>
    <w:rsid w:val="00D84FF7"/>
    <w:rsid w:val="00D85A68"/>
    <w:rsid w:val="00D85FA2"/>
    <w:rsid w:val="00D86253"/>
    <w:rsid w:val="00D86BE6"/>
    <w:rsid w:val="00D86F55"/>
    <w:rsid w:val="00D874AF"/>
    <w:rsid w:val="00D878F5"/>
    <w:rsid w:val="00D901FC"/>
    <w:rsid w:val="00D90A5B"/>
    <w:rsid w:val="00D913BF"/>
    <w:rsid w:val="00D920F1"/>
    <w:rsid w:val="00D922ED"/>
    <w:rsid w:val="00D92551"/>
    <w:rsid w:val="00D93DA2"/>
    <w:rsid w:val="00D94DA6"/>
    <w:rsid w:val="00D94E8F"/>
    <w:rsid w:val="00D95940"/>
    <w:rsid w:val="00D959ED"/>
    <w:rsid w:val="00D96B8D"/>
    <w:rsid w:val="00D97429"/>
    <w:rsid w:val="00D9752B"/>
    <w:rsid w:val="00D97586"/>
    <w:rsid w:val="00D97FF0"/>
    <w:rsid w:val="00DA01B9"/>
    <w:rsid w:val="00DA0446"/>
    <w:rsid w:val="00DA0C13"/>
    <w:rsid w:val="00DA114D"/>
    <w:rsid w:val="00DA2082"/>
    <w:rsid w:val="00DA22D0"/>
    <w:rsid w:val="00DA2835"/>
    <w:rsid w:val="00DA3A37"/>
    <w:rsid w:val="00DA4992"/>
    <w:rsid w:val="00DA50D0"/>
    <w:rsid w:val="00DA589D"/>
    <w:rsid w:val="00DA6E76"/>
    <w:rsid w:val="00DA6EFC"/>
    <w:rsid w:val="00DA719C"/>
    <w:rsid w:val="00DB06B3"/>
    <w:rsid w:val="00DB0DE5"/>
    <w:rsid w:val="00DB1637"/>
    <w:rsid w:val="00DB340D"/>
    <w:rsid w:val="00DB391B"/>
    <w:rsid w:val="00DB468E"/>
    <w:rsid w:val="00DB4E6C"/>
    <w:rsid w:val="00DB63FA"/>
    <w:rsid w:val="00DB6BB8"/>
    <w:rsid w:val="00DB70A0"/>
    <w:rsid w:val="00DB7213"/>
    <w:rsid w:val="00DB769D"/>
    <w:rsid w:val="00DB78A0"/>
    <w:rsid w:val="00DB7923"/>
    <w:rsid w:val="00DB7A69"/>
    <w:rsid w:val="00DB7B7F"/>
    <w:rsid w:val="00DC015F"/>
    <w:rsid w:val="00DC07C4"/>
    <w:rsid w:val="00DC1062"/>
    <w:rsid w:val="00DC151A"/>
    <w:rsid w:val="00DC1AB1"/>
    <w:rsid w:val="00DC2141"/>
    <w:rsid w:val="00DC2557"/>
    <w:rsid w:val="00DC28F7"/>
    <w:rsid w:val="00DC329A"/>
    <w:rsid w:val="00DC42BD"/>
    <w:rsid w:val="00DC467B"/>
    <w:rsid w:val="00DD0ABC"/>
    <w:rsid w:val="00DD13FA"/>
    <w:rsid w:val="00DD1ED0"/>
    <w:rsid w:val="00DD2CBF"/>
    <w:rsid w:val="00DD4B56"/>
    <w:rsid w:val="00DD4C68"/>
    <w:rsid w:val="00DD567F"/>
    <w:rsid w:val="00DD6226"/>
    <w:rsid w:val="00DD653D"/>
    <w:rsid w:val="00DD682D"/>
    <w:rsid w:val="00DD693D"/>
    <w:rsid w:val="00DD6C07"/>
    <w:rsid w:val="00DD7D33"/>
    <w:rsid w:val="00DE0357"/>
    <w:rsid w:val="00DE043D"/>
    <w:rsid w:val="00DE1584"/>
    <w:rsid w:val="00DE20ED"/>
    <w:rsid w:val="00DE230A"/>
    <w:rsid w:val="00DE2861"/>
    <w:rsid w:val="00DE4DA8"/>
    <w:rsid w:val="00DE5BE8"/>
    <w:rsid w:val="00DE638C"/>
    <w:rsid w:val="00DE6B73"/>
    <w:rsid w:val="00DE6E9E"/>
    <w:rsid w:val="00DE7BF0"/>
    <w:rsid w:val="00DF02D5"/>
    <w:rsid w:val="00DF1F50"/>
    <w:rsid w:val="00DF222C"/>
    <w:rsid w:val="00DF2666"/>
    <w:rsid w:val="00DF2753"/>
    <w:rsid w:val="00DF2BCD"/>
    <w:rsid w:val="00DF341A"/>
    <w:rsid w:val="00DF454D"/>
    <w:rsid w:val="00DF4DB9"/>
    <w:rsid w:val="00DF4E32"/>
    <w:rsid w:val="00DF616A"/>
    <w:rsid w:val="00DF669C"/>
    <w:rsid w:val="00DF6D54"/>
    <w:rsid w:val="00DF6DEF"/>
    <w:rsid w:val="00DF70A9"/>
    <w:rsid w:val="00DF7A30"/>
    <w:rsid w:val="00E00402"/>
    <w:rsid w:val="00E00479"/>
    <w:rsid w:val="00E00A1F"/>
    <w:rsid w:val="00E00B73"/>
    <w:rsid w:val="00E011B8"/>
    <w:rsid w:val="00E01246"/>
    <w:rsid w:val="00E01451"/>
    <w:rsid w:val="00E02BFB"/>
    <w:rsid w:val="00E030EA"/>
    <w:rsid w:val="00E0472B"/>
    <w:rsid w:val="00E05049"/>
    <w:rsid w:val="00E05ADA"/>
    <w:rsid w:val="00E05CCC"/>
    <w:rsid w:val="00E05E62"/>
    <w:rsid w:val="00E06D56"/>
    <w:rsid w:val="00E071F5"/>
    <w:rsid w:val="00E072CE"/>
    <w:rsid w:val="00E10491"/>
    <w:rsid w:val="00E1182B"/>
    <w:rsid w:val="00E11EED"/>
    <w:rsid w:val="00E12726"/>
    <w:rsid w:val="00E12ADF"/>
    <w:rsid w:val="00E12E9F"/>
    <w:rsid w:val="00E13232"/>
    <w:rsid w:val="00E13831"/>
    <w:rsid w:val="00E138AF"/>
    <w:rsid w:val="00E1406E"/>
    <w:rsid w:val="00E15353"/>
    <w:rsid w:val="00E1591B"/>
    <w:rsid w:val="00E15C5A"/>
    <w:rsid w:val="00E15D4E"/>
    <w:rsid w:val="00E15EDD"/>
    <w:rsid w:val="00E15F85"/>
    <w:rsid w:val="00E16B30"/>
    <w:rsid w:val="00E171C2"/>
    <w:rsid w:val="00E174B1"/>
    <w:rsid w:val="00E175F4"/>
    <w:rsid w:val="00E20249"/>
    <w:rsid w:val="00E203A8"/>
    <w:rsid w:val="00E20C73"/>
    <w:rsid w:val="00E2169D"/>
    <w:rsid w:val="00E218AB"/>
    <w:rsid w:val="00E21DFF"/>
    <w:rsid w:val="00E222FF"/>
    <w:rsid w:val="00E23265"/>
    <w:rsid w:val="00E23FA0"/>
    <w:rsid w:val="00E245BE"/>
    <w:rsid w:val="00E24A5C"/>
    <w:rsid w:val="00E25F37"/>
    <w:rsid w:val="00E26E6A"/>
    <w:rsid w:val="00E26EF1"/>
    <w:rsid w:val="00E277E7"/>
    <w:rsid w:val="00E2798A"/>
    <w:rsid w:val="00E304B6"/>
    <w:rsid w:val="00E30A0C"/>
    <w:rsid w:val="00E30A54"/>
    <w:rsid w:val="00E31299"/>
    <w:rsid w:val="00E313B3"/>
    <w:rsid w:val="00E32F7C"/>
    <w:rsid w:val="00E332EE"/>
    <w:rsid w:val="00E33AEE"/>
    <w:rsid w:val="00E33D4C"/>
    <w:rsid w:val="00E349EA"/>
    <w:rsid w:val="00E354E2"/>
    <w:rsid w:val="00E3550A"/>
    <w:rsid w:val="00E35685"/>
    <w:rsid w:val="00E36B35"/>
    <w:rsid w:val="00E36E80"/>
    <w:rsid w:val="00E373BF"/>
    <w:rsid w:val="00E37836"/>
    <w:rsid w:val="00E40978"/>
    <w:rsid w:val="00E411EC"/>
    <w:rsid w:val="00E41876"/>
    <w:rsid w:val="00E42090"/>
    <w:rsid w:val="00E42612"/>
    <w:rsid w:val="00E427B0"/>
    <w:rsid w:val="00E42A1D"/>
    <w:rsid w:val="00E42AB3"/>
    <w:rsid w:val="00E43FBD"/>
    <w:rsid w:val="00E448C2"/>
    <w:rsid w:val="00E45572"/>
    <w:rsid w:val="00E45A0A"/>
    <w:rsid w:val="00E45A67"/>
    <w:rsid w:val="00E45BD6"/>
    <w:rsid w:val="00E505E5"/>
    <w:rsid w:val="00E506D4"/>
    <w:rsid w:val="00E51457"/>
    <w:rsid w:val="00E51E73"/>
    <w:rsid w:val="00E543C5"/>
    <w:rsid w:val="00E5474F"/>
    <w:rsid w:val="00E54779"/>
    <w:rsid w:val="00E54907"/>
    <w:rsid w:val="00E54B78"/>
    <w:rsid w:val="00E55770"/>
    <w:rsid w:val="00E56CB3"/>
    <w:rsid w:val="00E56E5E"/>
    <w:rsid w:val="00E60C1F"/>
    <w:rsid w:val="00E61167"/>
    <w:rsid w:val="00E6190F"/>
    <w:rsid w:val="00E61A8F"/>
    <w:rsid w:val="00E622BE"/>
    <w:rsid w:val="00E62CB6"/>
    <w:rsid w:val="00E63149"/>
    <w:rsid w:val="00E63815"/>
    <w:rsid w:val="00E64034"/>
    <w:rsid w:val="00E64EE7"/>
    <w:rsid w:val="00E652E1"/>
    <w:rsid w:val="00E65CF1"/>
    <w:rsid w:val="00E660C9"/>
    <w:rsid w:val="00E70518"/>
    <w:rsid w:val="00E706F7"/>
    <w:rsid w:val="00E70A36"/>
    <w:rsid w:val="00E7166F"/>
    <w:rsid w:val="00E718A1"/>
    <w:rsid w:val="00E71D67"/>
    <w:rsid w:val="00E71EF7"/>
    <w:rsid w:val="00E7256E"/>
    <w:rsid w:val="00E72A79"/>
    <w:rsid w:val="00E72CEE"/>
    <w:rsid w:val="00E74AE4"/>
    <w:rsid w:val="00E74EF1"/>
    <w:rsid w:val="00E7708D"/>
    <w:rsid w:val="00E772EB"/>
    <w:rsid w:val="00E77BA8"/>
    <w:rsid w:val="00E8106D"/>
    <w:rsid w:val="00E81C48"/>
    <w:rsid w:val="00E821B1"/>
    <w:rsid w:val="00E82404"/>
    <w:rsid w:val="00E826AB"/>
    <w:rsid w:val="00E82C9B"/>
    <w:rsid w:val="00E835A4"/>
    <w:rsid w:val="00E83892"/>
    <w:rsid w:val="00E83E88"/>
    <w:rsid w:val="00E8438E"/>
    <w:rsid w:val="00E8454A"/>
    <w:rsid w:val="00E84B48"/>
    <w:rsid w:val="00E85EE0"/>
    <w:rsid w:val="00E8641E"/>
    <w:rsid w:val="00E874A9"/>
    <w:rsid w:val="00E92713"/>
    <w:rsid w:val="00E92883"/>
    <w:rsid w:val="00E931D6"/>
    <w:rsid w:val="00E936D5"/>
    <w:rsid w:val="00E93E81"/>
    <w:rsid w:val="00E94065"/>
    <w:rsid w:val="00E94621"/>
    <w:rsid w:val="00E947A1"/>
    <w:rsid w:val="00E94EF0"/>
    <w:rsid w:val="00E95B0B"/>
    <w:rsid w:val="00E95B1C"/>
    <w:rsid w:val="00E95F06"/>
    <w:rsid w:val="00E96128"/>
    <w:rsid w:val="00E9621D"/>
    <w:rsid w:val="00E97791"/>
    <w:rsid w:val="00E97DA8"/>
    <w:rsid w:val="00EA00C7"/>
    <w:rsid w:val="00EA0828"/>
    <w:rsid w:val="00EA084F"/>
    <w:rsid w:val="00EA10FC"/>
    <w:rsid w:val="00EA2A3A"/>
    <w:rsid w:val="00EA33AE"/>
    <w:rsid w:val="00EA40A0"/>
    <w:rsid w:val="00EA4D10"/>
    <w:rsid w:val="00EA4EED"/>
    <w:rsid w:val="00EA50EC"/>
    <w:rsid w:val="00EA58CB"/>
    <w:rsid w:val="00EA59B0"/>
    <w:rsid w:val="00EA62FD"/>
    <w:rsid w:val="00EA6308"/>
    <w:rsid w:val="00EA7E00"/>
    <w:rsid w:val="00EB1183"/>
    <w:rsid w:val="00EB164A"/>
    <w:rsid w:val="00EB1660"/>
    <w:rsid w:val="00EB18D5"/>
    <w:rsid w:val="00EB2979"/>
    <w:rsid w:val="00EB2B1F"/>
    <w:rsid w:val="00EB2ED1"/>
    <w:rsid w:val="00EB38BC"/>
    <w:rsid w:val="00EB3F2B"/>
    <w:rsid w:val="00EB547A"/>
    <w:rsid w:val="00EB5565"/>
    <w:rsid w:val="00EB5576"/>
    <w:rsid w:val="00EB56DE"/>
    <w:rsid w:val="00EB60E9"/>
    <w:rsid w:val="00EC052F"/>
    <w:rsid w:val="00EC0801"/>
    <w:rsid w:val="00EC0961"/>
    <w:rsid w:val="00EC09D0"/>
    <w:rsid w:val="00EC0BCB"/>
    <w:rsid w:val="00EC148A"/>
    <w:rsid w:val="00EC1BEA"/>
    <w:rsid w:val="00EC20D2"/>
    <w:rsid w:val="00EC32B8"/>
    <w:rsid w:val="00EC43D5"/>
    <w:rsid w:val="00EC58B2"/>
    <w:rsid w:val="00EC6137"/>
    <w:rsid w:val="00EC7279"/>
    <w:rsid w:val="00ED0237"/>
    <w:rsid w:val="00ED0541"/>
    <w:rsid w:val="00ED126D"/>
    <w:rsid w:val="00ED1E86"/>
    <w:rsid w:val="00ED254F"/>
    <w:rsid w:val="00ED2CB5"/>
    <w:rsid w:val="00ED2FFB"/>
    <w:rsid w:val="00ED30BE"/>
    <w:rsid w:val="00ED396B"/>
    <w:rsid w:val="00ED3BCB"/>
    <w:rsid w:val="00ED4627"/>
    <w:rsid w:val="00ED6A59"/>
    <w:rsid w:val="00ED6F2D"/>
    <w:rsid w:val="00ED6FA0"/>
    <w:rsid w:val="00ED712E"/>
    <w:rsid w:val="00ED78C5"/>
    <w:rsid w:val="00EE02BB"/>
    <w:rsid w:val="00EE1225"/>
    <w:rsid w:val="00EE251C"/>
    <w:rsid w:val="00EE2E76"/>
    <w:rsid w:val="00EE3F32"/>
    <w:rsid w:val="00EE4182"/>
    <w:rsid w:val="00EE46CA"/>
    <w:rsid w:val="00EE47D9"/>
    <w:rsid w:val="00EE4BFC"/>
    <w:rsid w:val="00EE5FE4"/>
    <w:rsid w:val="00EE62E0"/>
    <w:rsid w:val="00EE6327"/>
    <w:rsid w:val="00EE6CC9"/>
    <w:rsid w:val="00EF0B3A"/>
    <w:rsid w:val="00EF18B1"/>
    <w:rsid w:val="00EF1AD8"/>
    <w:rsid w:val="00EF1E8F"/>
    <w:rsid w:val="00EF1F84"/>
    <w:rsid w:val="00EF21B8"/>
    <w:rsid w:val="00EF30CB"/>
    <w:rsid w:val="00EF36D2"/>
    <w:rsid w:val="00EF4066"/>
    <w:rsid w:val="00EF42B5"/>
    <w:rsid w:val="00EF4A9E"/>
    <w:rsid w:val="00EF5648"/>
    <w:rsid w:val="00EF5A16"/>
    <w:rsid w:val="00EF6A57"/>
    <w:rsid w:val="00EF721C"/>
    <w:rsid w:val="00EF79C2"/>
    <w:rsid w:val="00F0068F"/>
    <w:rsid w:val="00F00B63"/>
    <w:rsid w:val="00F015AC"/>
    <w:rsid w:val="00F01831"/>
    <w:rsid w:val="00F01F71"/>
    <w:rsid w:val="00F02B74"/>
    <w:rsid w:val="00F033E1"/>
    <w:rsid w:val="00F04A2A"/>
    <w:rsid w:val="00F04AD4"/>
    <w:rsid w:val="00F05294"/>
    <w:rsid w:val="00F0533F"/>
    <w:rsid w:val="00F055EA"/>
    <w:rsid w:val="00F0563C"/>
    <w:rsid w:val="00F0578E"/>
    <w:rsid w:val="00F05AE5"/>
    <w:rsid w:val="00F0601B"/>
    <w:rsid w:val="00F066BB"/>
    <w:rsid w:val="00F071B8"/>
    <w:rsid w:val="00F077BD"/>
    <w:rsid w:val="00F07ED6"/>
    <w:rsid w:val="00F10022"/>
    <w:rsid w:val="00F1002F"/>
    <w:rsid w:val="00F1153E"/>
    <w:rsid w:val="00F1171B"/>
    <w:rsid w:val="00F11FD1"/>
    <w:rsid w:val="00F122F5"/>
    <w:rsid w:val="00F12BBF"/>
    <w:rsid w:val="00F1551A"/>
    <w:rsid w:val="00F15A83"/>
    <w:rsid w:val="00F16F4D"/>
    <w:rsid w:val="00F1739B"/>
    <w:rsid w:val="00F174D7"/>
    <w:rsid w:val="00F1763B"/>
    <w:rsid w:val="00F17711"/>
    <w:rsid w:val="00F20475"/>
    <w:rsid w:val="00F2054B"/>
    <w:rsid w:val="00F20A2A"/>
    <w:rsid w:val="00F22297"/>
    <w:rsid w:val="00F2279E"/>
    <w:rsid w:val="00F235A2"/>
    <w:rsid w:val="00F237FC"/>
    <w:rsid w:val="00F23955"/>
    <w:rsid w:val="00F23F74"/>
    <w:rsid w:val="00F24A62"/>
    <w:rsid w:val="00F26209"/>
    <w:rsid w:val="00F2627E"/>
    <w:rsid w:val="00F26CEE"/>
    <w:rsid w:val="00F27144"/>
    <w:rsid w:val="00F2724B"/>
    <w:rsid w:val="00F27306"/>
    <w:rsid w:val="00F27603"/>
    <w:rsid w:val="00F27BBF"/>
    <w:rsid w:val="00F3084D"/>
    <w:rsid w:val="00F31CA2"/>
    <w:rsid w:val="00F31D30"/>
    <w:rsid w:val="00F31E51"/>
    <w:rsid w:val="00F324D6"/>
    <w:rsid w:val="00F343CB"/>
    <w:rsid w:val="00F34BD0"/>
    <w:rsid w:val="00F34F63"/>
    <w:rsid w:val="00F35546"/>
    <w:rsid w:val="00F35973"/>
    <w:rsid w:val="00F35BEC"/>
    <w:rsid w:val="00F35DF2"/>
    <w:rsid w:val="00F372F6"/>
    <w:rsid w:val="00F401D4"/>
    <w:rsid w:val="00F4237B"/>
    <w:rsid w:val="00F42F7B"/>
    <w:rsid w:val="00F44D7D"/>
    <w:rsid w:val="00F46EA5"/>
    <w:rsid w:val="00F470C4"/>
    <w:rsid w:val="00F473F3"/>
    <w:rsid w:val="00F47432"/>
    <w:rsid w:val="00F47766"/>
    <w:rsid w:val="00F47B31"/>
    <w:rsid w:val="00F47B82"/>
    <w:rsid w:val="00F5137E"/>
    <w:rsid w:val="00F52966"/>
    <w:rsid w:val="00F52EAE"/>
    <w:rsid w:val="00F53617"/>
    <w:rsid w:val="00F54017"/>
    <w:rsid w:val="00F54A8F"/>
    <w:rsid w:val="00F55947"/>
    <w:rsid w:val="00F55B2F"/>
    <w:rsid w:val="00F55FCA"/>
    <w:rsid w:val="00F56746"/>
    <w:rsid w:val="00F5714E"/>
    <w:rsid w:val="00F57B20"/>
    <w:rsid w:val="00F57C1A"/>
    <w:rsid w:val="00F57FC3"/>
    <w:rsid w:val="00F6024D"/>
    <w:rsid w:val="00F60F06"/>
    <w:rsid w:val="00F612C6"/>
    <w:rsid w:val="00F61A7C"/>
    <w:rsid w:val="00F61E28"/>
    <w:rsid w:val="00F62671"/>
    <w:rsid w:val="00F62BC6"/>
    <w:rsid w:val="00F63850"/>
    <w:rsid w:val="00F64AFB"/>
    <w:rsid w:val="00F6536A"/>
    <w:rsid w:val="00F66BB5"/>
    <w:rsid w:val="00F678DF"/>
    <w:rsid w:val="00F70B17"/>
    <w:rsid w:val="00F71090"/>
    <w:rsid w:val="00F714F9"/>
    <w:rsid w:val="00F71712"/>
    <w:rsid w:val="00F72837"/>
    <w:rsid w:val="00F73021"/>
    <w:rsid w:val="00F73A90"/>
    <w:rsid w:val="00F74037"/>
    <w:rsid w:val="00F74515"/>
    <w:rsid w:val="00F74CD4"/>
    <w:rsid w:val="00F74FF3"/>
    <w:rsid w:val="00F751A3"/>
    <w:rsid w:val="00F7544B"/>
    <w:rsid w:val="00F755D1"/>
    <w:rsid w:val="00F76834"/>
    <w:rsid w:val="00F774EA"/>
    <w:rsid w:val="00F77B0E"/>
    <w:rsid w:val="00F77BE2"/>
    <w:rsid w:val="00F77E35"/>
    <w:rsid w:val="00F817C6"/>
    <w:rsid w:val="00F819DB"/>
    <w:rsid w:val="00F81F33"/>
    <w:rsid w:val="00F82CF7"/>
    <w:rsid w:val="00F82F6B"/>
    <w:rsid w:val="00F83069"/>
    <w:rsid w:val="00F83244"/>
    <w:rsid w:val="00F83D36"/>
    <w:rsid w:val="00F83FA3"/>
    <w:rsid w:val="00F84910"/>
    <w:rsid w:val="00F857E8"/>
    <w:rsid w:val="00F86326"/>
    <w:rsid w:val="00F87935"/>
    <w:rsid w:val="00F87A00"/>
    <w:rsid w:val="00F905EF"/>
    <w:rsid w:val="00F90E1C"/>
    <w:rsid w:val="00F9108F"/>
    <w:rsid w:val="00F92B18"/>
    <w:rsid w:val="00F93073"/>
    <w:rsid w:val="00F934B6"/>
    <w:rsid w:val="00F94244"/>
    <w:rsid w:val="00F950BA"/>
    <w:rsid w:val="00F9538C"/>
    <w:rsid w:val="00F96787"/>
    <w:rsid w:val="00F97366"/>
    <w:rsid w:val="00FA0321"/>
    <w:rsid w:val="00FA0425"/>
    <w:rsid w:val="00FA0682"/>
    <w:rsid w:val="00FA06C7"/>
    <w:rsid w:val="00FA0B8B"/>
    <w:rsid w:val="00FA0C0E"/>
    <w:rsid w:val="00FA1285"/>
    <w:rsid w:val="00FA16D0"/>
    <w:rsid w:val="00FA1C78"/>
    <w:rsid w:val="00FA20D9"/>
    <w:rsid w:val="00FA29C2"/>
    <w:rsid w:val="00FA2DC3"/>
    <w:rsid w:val="00FA34EC"/>
    <w:rsid w:val="00FA49A9"/>
    <w:rsid w:val="00FA4F04"/>
    <w:rsid w:val="00FA53C2"/>
    <w:rsid w:val="00FA57CE"/>
    <w:rsid w:val="00FA5934"/>
    <w:rsid w:val="00FA60E4"/>
    <w:rsid w:val="00FA6A05"/>
    <w:rsid w:val="00FA6B19"/>
    <w:rsid w:val="00FA74E3"/>
    <w:rsid w:val="00FB178B"/>
    <w:rsid w:val="00FB19CA"/>
    <w:rsid w:val="00FB1A27"/>
    <w:rsid w:val="00FB2C83"/>
    <w:rsid w:val="00FB338A"/>
    <w:rsid w:val="00FB4509"/>
    <w:rsid w:val="00FB4C56"/>
    <w:rsid w:val="00FB4DFA"/>
    <w:rsid w:val="00FB4F1E"/>
    <w:rsid w:val="00FB58E7"/>
    <w:rsid w:val="00FB6222"/>
    <w:rsid w:val="00FB670F"/>
    <w:rsid w:val="00FB6AA2"/>
    <w:rsid w:val="00FB6B2B"/>
    <w:rsid w:val="00FB6D1F"/>
    <w:rsid w:val="00FB7204"/>
    <w:rsid w:val="00FB743E"/>
    <w:rsid w:val="00FB79B4"/>
    <w:rsid w:val="00FB7CD0"/>
    <w:rsid w:val="00FB7E76"/>
    <w:rsid w:val="00FC0504"/>
    <w:rsid w:val="00FC0918"/>
    <w:rsid w:val="00FC0F87"/>
    <w:rsid w:val="00FC2730"/>
    <w:rsid w:val="00FC2BE7"/>
    <w:rsid w:val="00FC3D55"/>
    <w:rsid w:val="00FC4294"/>
    <w:rsid w:val="00FC5E22"/>
    <w:rsid w:val="00FC5FCF"/>
    <w:rsid w:val="00FC6EAB"/>
    <w:rsid w:val="00FC6F05"/>
    <w:rsid w:val="00FC7142"/>
    <w:rsid w:val="00FC7C32"/>
    <w:rsid w:val="00FC7E0D"/>
    <w:rsid w:val="00FC7F1F"/>
    <w:rsid w:val="00FD0A9D"/>
    <w:rsid w:val="00FD0D7E"/>
    <w:rsid w:val="00FD125D"/>
    <w:rsid w:val="00FD167F"/>
    <w:rsid w:val="00FD1AD2"/>
    <w:rsid w:val="00FD1C0E"/>
    <w:rsid w:val="00FD1D89"/>
    <w:rsid w:val="00FD1DE9"/>
    <w:rsid w:val="00FD2445"/>
    <w:rsid w:val="00FD29C1"/>
    <w:rsid w:val="00FD2ED3"/>
    <w:rsid w:val="00FD3429"/>
    <w:rsid w:val="00FD3763"/>
    <w:rsid w:val="00FD3B3B"/>
    <w:rsid w:val="00FD43D1"/>
    <w:rsid w:val="00FD453B"/>
    <w:rsid w:val="00FD49CD"/>
    <w:rsid w:val="00FD4FF3"/>
    <w:rsid w:val="00FD526D"/>
    <w:rsid w:val="00FD6F2C"/>
    <w:rsid w:val="00FD7119"/>
    <w:rsid w:val="00FD77A0"/>
    <w:rsid w:val="00FD7E02"/>
    <w:rsid w:val="00FE10A4"/>
    <w:rsid w:val="00FE12C1"/>
    <w:rsid w:val="00FE2584"/>
    <w:rsid w:val="00FE279C"/>
    <w:rsid w:val="00FE33ED"/>
    <w:rsid w:val="00FE3D2F"/>
    <w:rsid w:val="00FE551D"/>
    <w:rsid w:val="00FE5D61"/>
    <w:rsid w:val="00FE5FEC"/>
    <w:rsid w:val="00FE6559"/>
    <w:rsid w:val="00FE76D5"/>
    <w:rsid w:val="00FF00E6"/>
    <w:rsid w:val="00FF120D"/>
    <w:rsid w:val="00FF1D46"/>
    <w:rsid w:val="00FF26C4"/>
    <w:rsid w:val="00FF349A"/>
    <w:rsid w:val="00FF372F"/>
    <w:rsid w:val="00FF3E41"/>
    <w:rsid w:val="00FF46BD"/>
    <w:rsid w:val="00FF552E"/>
    <w:rsid w:val="00FF612D"/>
    <w:rsid w:val="00FF621C"/>
    <w:rsid w:val="00FF643D"/>
    <w:rsid w:val="00FF6E78"/>
    <w:rsid w:val="00FF71A2"/>
    <w:rsid w:val="00FF733D"/>
    <w:rsid w:val="00FF770B"/>
    <w:rsid w:val="00FF77DB"/>
    <w:rsid w:val="00FF7CE0"/>
    <w:rsid w:val="012EA713"/>
    <w:rsid w:val="013A39BB"/>
    <w:rsid w:val="01839145"/>
    <w:rsid w:val="01870805"/>
    <w:rsid w:val="01880007"/>
    <w:rsid w:val="019683D1"/>
    <w:rsid w:val="01A45E60"/>
    <w:rsid w:val="01CF0FF7"/>
    <w:rsid w:val="02249919"/>
    <w:rsid w:val="022FC316"/>
    <w:rsid w:val="023501ED"/>
    <w:rsid w:val="02350FCF"/>
    <w:rsid w:val="02545D3F"/>
    <w:rsid w:val="0255EBD7"/>
    <w:rsid w:val="025C1EBB"/>
    <w:rsid w:val="02E15188"/>
    <w:rsid w:val="0324237C"/>
    <w:rsid w:val="034B5E7F"/>
    <w:rsid w:val="03828EAF"/>
    <w:rsid w:val="03874442"/>
    <w:rsid w:val="038F0F5F"/>
    <w:rsid w:val="03A41374"/>
    <w:rsid w:val="03A607AE"/>
    <w:rsid w:val="03B8E82A"/>
    <w:rsid w:val="03D85D2D"/>
    <w:rsid w:val="03D922D9"/>
    <w:rsid w:val="03E0356D"/>
    <w:rsid w:val="042FAC90"/>
    <w:rsid w:val="0433777C"/>
    <w:rsid w:val="043EA0AD"/>
    <w:rsid w:val="04442A8C"/>
    <w:rsid w:val="045ECD96"/>
    <w:rsid w:val="046B72BB"/>
    <w:rsid w:val="046EE9ED"/>
    <w:rsid w:val="047A4A85"/>
    <w:rsid w:val="048D8164"/>
    <w:rsid w:val="04917D73"/>
    <w:rsid w:val="049C9E3B"/>
    <w:rsid w:val="04E28AB5"/>
    <w:rsid w:val="04F039B7"/>
    <w:rsid w:val="04F85B93"/>
    <w:rsid w:val="05030B53"/>
    <w:rsid w:val="0511E535"/>
    <w:rsid w:val="05350469"/>
    <w:rsid w:val="0551EE0E"/>
    <w:rsid w:val="0562FA8D"/>
    <w:rsid w:val="05645439"/>
    <w:rsid w:val="058C0C0B"/>
    <w:rsid w:val="059A24D4"/>
    <w:rsid w:val="059CB758"/>
    <w:rsid w:val="05A69F2C"/>
    <w:rsid w:val="05C2E147"/>
    <w:rsid w:val="062F9B22"/>
    <w:rsid w:val="0631D83F"/>
    <w:rsid w:val="063B5D60"/>
    <w:rsid w:val="063E51D6"/>
    <w:rsid w:val="069336EF"/>
    <w:rsid w:val="06D27E8C"/>
    <w:rsid w:val="06D6D8C7"/>
    <w:rsid w:val="06EC5391"/>
    <w:rsid w:val="071550E7"/>
    <w:rsid w:val="072349A5"/>
    <w:rsid w:val="0727D0C0"/>
    <w:rsid w:val="072D955D"/>
    <w:rsid w:val="075382BC"/>
    <w:rsid w:val="07557A6F"/>
    <w:rsid w:val="075C1DD5"/>
    <w:rsid w:val="078659EA"/>
    <w:rsid w:val="07B1BE9E"/>
    <w:rsid w:val="07D4191A"/>
    <w:rsid w:val="07E0485A"/>
    <w:rsid w:val="07E1774A"/>
    <w:rsid w:val="08030B7E"/>
    <w:rsid w:val="08111125"/>
    <w:rsid w:val="082E1CE5"/>
    <w:rsid w:val="0842916E"/>
    <w:rsid w:val="08789D75"/>
    <w:rsid w:val="088E483A"/>
    <w:rsid w:val="088F847F"/>
    <w:rsid w:val="089F309C"/>
    <w:rsid w:val="08A809E0"/>
    <w:rsid w:val="09035084"/>
    <w:rsid w:val="0921AD7D"/>
    <w:rsid w:val="0953D944"/>
    <w:rsid w:val="0966E6D4"/>
    <w:rsid w:val="09A1F3FB"/>
    <w:rsid w:val="09ABDDC3"/>
    <w:rsid w:val="09AFADF2"/>
    <w:rsid w:val="09B85DD5"/>
    <w:rsid w:val="09C3096D"/>
    <w:rsid w:val="09C8FD30"/>
    <w:rsid w:val="09C99BCA"/>
    <w:rsid w:val="09D2E6F8"/>
    <w:rsid w:val="09F3FA9E"/>
    <w:rsid w:val="0A06EB54"/>
    <w:rsid w:val="0A09DFF8"/>
    <w:rsid w:val="0A0F288F"/>
    <w:rsid w:val="0A3EF42B"/>
    <w:rsid w:val="0A4EBED6"/>
    <w:rsid w:val="0A58DE60"/>
    <w:rsid w:val="0A5E7999"/>
    <w:rsid w:val="0A6253EA"/>
    <w:rsid w:val="0A630C25"/>
    <w:rsid w:val="0A65FAE9"/>
    <w:rsid w:val="0A8F12CA"/>
    <w:rsid w:val="0AA88FDB"/>
    <w:rsid w:val="0AC12754"/>
    <w:rsid w:val="0AE798F8"/>
    <w:rsid w:val="0B1334D2"/>
    <w:rsid w:val="0B2F4B11"/>
    <w:rsid w:val="0B612B91"/>
    <w:rsid w:val="0B80AB7E"/>
    <w:rsid w:val="0B8A9C34"/>
    <w:rsid w:val="0BCEE413"/>
    <w:rsid w:val="0BD8D6E6"/>
    <w:rsid w:val="0C170458"/>
    <w:rsid w:val="0C23C63F"/>
    <w:rsid w:val="0C2B9964"/>
    <w:rsid w:val="0C31BE24"/>
    <w:rsid w:val="0C4A284C"/>
    <w:rsid w:val="0C4FA6DF"/>
    <w:rsid w:val="0C696AB8"/>
    <w:rsid w:val="0C6A99A8"/>
    <w:rsid w:val="0C84058D"/>
    <w:rsid w:val="0C9A6576"/>
    <w:rsid w:val="0CAED35D"/>
    <w:rsid w:val="0CBF6C24"/>
    <w:rsid w:val="0CCC5B75"/>
    <w:rsid w:val="0CF12888"/>
    <w:rsid w:val="0D1E9803"/>
    <w:rsid w:val="0D42DCF2"/>
    <w:rsid w:val="0D80AA10"/>
    <w:rsid w:val="0D9E444F"/>
    <w:rsid w:val="0DF54E25"/>
    <w:rsid w:val="0E378CCB"/>
    <w:rsid w:val="0E41445F"/>
    <w:rsid w:val="0E4B57DC"/>
    <w:rsid w:val="0E9834DB"/>
    <w:rsid w:val="0EC31861"/>
    <w:rsid w:val="0EC83CE5"/>
    <w:rsid w:val="0ECC1A8F"/>
    <w:rsid w:val="0ED0BCCB"/>
    <w:rsid w:val="0EF25184"/>
    <w:rsid w:val="0F07ED11"/>
    <w:rsid w:val="0F15D89A"/>
    <w:rsid w:val="0F7F9449"/>
    <w:rsid w:val="0F83DEED"/>
    <w:rsid w:val="0FAD21E6"/>
    <w:rsid w:val="0FBDADE1"/>
    <w:rsid w:val="0FD543FB"/>
    <w:rsid w:val="0FD63A66"/>
    <w:rsid w:val="0FDD878A"/>
    <w:rsid w:val="100C7EBE"/>
    <w:rsid w:val="100EE6B0"/>
    <w:rsid w:val="103D855E"/>
    <w:rsid w:val="1040D009"/>
    <w:rsid w:val="10452E5D"/>
    <w:rsid w:val="10822F56"/>
    <w:rsid w:val="10E035F7"/>
    <w:rsid w:val="10EF2E18"/>
    <w:rsid w:val="11011193"/>
    <w:rsid w:val="11025FDF"/>
    <w:rsid w:val="110F3DC5"/>
    <w:rsid w:val="113E7C81"/>
    <w:rsid w:val="118C039D"/>
    <w:rsid w:val="119CACAC"/>
    <w:rsid w:val="11CD09D4"/>
    <w:rsid w:val="12223292"/>
    <w:rsid w:val="126C1788"/>
    <w:rsid w:val="126CB493"/>
    <w:rsid w:val="1272B80C"/>
    <w:rsid w:val="12AA81AA"/>
    <w:rsid w:val="12C3386A"/>
    <w:rsid w:val="12D2941A"/>
    <w:rsid w:val="12D45895"/>
    <w:rsid w:val="13045A0B"/>
    <w:rsid w:val="1339F84F"/>
    <w:rsid w:val="135A632C"/>
    <w:rsid w:val="1377F33F"/>
    <w:rsid w:val="1397675D"/>
    <w:rsid w:val="13BBDCE3"/>
    <w:rsid w:val="13E9E8BB"/>
    <w:rsid w:val="1408B0C6"/>
    <w:rsid w:val="14114DF1"/>
    <w:rsid w:val="141E00CA"/>
    <w:rsid w:val="14304FF7"/>
    <w:rsid w:val="14636405"/>
    <w:rsid w:val="149BCF0D"/>
    <w:rsid w:val="14A1587A"/>
    <w:rsid w:val="14AF2422"/>
    <w:rsid w:val="14B899AC"/>
    <w:rsid w:val="14BCD324"/>
    <w:rsid w:val="14C8E39D"/>
    <w:rsid w:val="14CC15BD"/>
    <w:rsid w:val="14E1738E"/>
    <w:rsid w:val="150338DB"/>
    <w:rsid w:val="152D6AD3"/>
    <w:rsid w:val="152DF92F"/>
    <w:rsid w:val="15394B4C"/>
    <w:rsid w:val="1539FB4B"/>
    <w:rsid w:val="1562BF7D"/>
    <w:rsid w:val="1563E172"/>
    <w:rsid w:val="156D3A1C"/>
    <w:rsid w:val="15D22C4C"/>
    <w:rsid w:val="15D6F842"/>
    <w:rsid w:val="15DB7043"/>
    <w:rsid w:val="16054E40"/>
    <w:rsid w:val="160FF0AA"/>
    <w:rsid w:val="16255F3A"/>
    <w:rsid w:val="164436E8"/>
    <w:rsid w:val="165186C3"/>
    <w:rsid w:val="16527C67"/>
    <w:rsid w:val="165DE737"/>
    <w:rsid w:val="166A059A"/>
    <w:rsid w:val="166C42B7"/>
    <w:rsid w:val="167C0426"/>
    <w:rsid w:val="169F64E0"/>
    <w:rsid w:val="16B898D5"/>
    <w:rsid w:val="16BDB33D"/>
    <w:rsid w:val="16E0EF1D"/>
    <w:rsid w:val="1722A137"/>
    <w:rsid w:val="172C1ADE"/>
    <w:rsid w:val="1783983A"/>
    <w:rsid w:val="178DC928"/>
    <w:rsid w:val="1790F7C5"/>
    <w:rsid w:val="17BE2818"/>
    <w:rsid w:val="17C90EFA"/>
    <w:rsid w:val="17EFA2F6"/>
    <w:rsid w:val="18091436"/>
    <w:rsid w:val="182B63FC"/>
    <w:rsid w:val="1838B6C1"/>
    <w:rsid w:val="183D7901"/>
    <w:rsid w:val="18509EF8"/>
    <w:rsid w:val="18681200"/>
    <w:rsid w:val="18D2102B"/>
    <w:rsid w:val="18DCC3F9"/>
    <w:rsid w:val="190CC588"/>
    <w:rsid w:val="19100FD7"/>
    <w:rsid w:val="191E24E2"/>
    <w:rsid w:val="1944F464"/>
    <w:rsid w:val="1956404E"/>
    <w:rsid w:val="195D6F1E"/>
    <w:rsid w:val="197B666B"/>
    <w:rsid w:val="1983B20E"/>
    <w:rsid w:val="198665F9"/>
    <w:rsid w:val="19C9DA8E"/>
    <w:rsid w:val="19D86763"/>
    <w:rsid w:val="19D9C87F"/>
    <w:rsid w:val="19DF6E3D"/>
    <w:rsid w:val="19F4E3D1"/>
    <w:rsid w:val="1A1ABE0A"/>
    <w:rsid w:val="1A25E7EE"/>
    <w:rsid w:val="1A2E3DC6"/>
    <w:rsid w:val="1A36BE1E"/>
    <w:rsid w:val="1A3ED95D"/>
    <w:rsid w:val="1A567240"/>
    <w:rsid w:val="1A79B8B2"/>
    <w:rsid w:val="1A906E80"/>
    <w:rsid w:val="1AA110B3"/>
    <w:rsid w:val="1AB220AD"/>
    <w:rsid w:val="1AC49D73"/>
    <w:rsid w:val="1AE02A9A"/>
    <w:rsid w:val="1AFF5EC3"/>
    <w:rsid w:val="1B09C21B"/>
    <w:rsid w:val="1B771B92"/>
    <w:rsid w:val="1B7EF16E"/>
    <w:rsid w:val="1B8AE8E5"/>
    <w:rsid w:val="1B9CAC57"/>
    <w:rsid w:val="1BA500E2"/>
    <w:rsid w:val="1BBB69F3"/>
    <w:rsid w:val="1BEE7F23"/>
    <w:rsid w:val="1C040123"/>
    <w:rsid w:val="1C239CBC"/>
    <w:rsid w:val="1C39590C"/>
    <w:rsid w:val="1C685297"/>
    <w:rsid w:val="1C7E683D"/>
    <w:rsid w:val="1CA2BC02"/>
    <w:rsid w:val="1CBB20FA"/>
    <w:rsid w:val="1CD1B4A2"/>
    <w:rsid w:val="1CDAB876"/>
    <w:rsid w:val="1CDF4E5B"/>
    <w:rsid w:val="1CF1F4A9"/>
    <w:rsid w:val="1D0D3A51"/>
    <w:rsid w:val="1D1B2676"/>
    <w:rsid w:val="1D5E4EDC"/>
    <w:rsid w:val="1D71BDDE"/>
    <w:rsid w:val="1D72AA66"/>
    <w:rsid w:val="1D7B70D1"/>
    <w:rsid w:val="1DBC9649"/>
    <w:rsid w:val="1DCE3901"/>
    <w:rsid w:val="1DDD4A7E"/>
    <w:rsid w:val="1E066FFE"/>
    <w:rsid w:val="1E8F8B72"/>
    <w:rsid w:val="1E9022D1"/>
    <w:rsid w:val="1E9602E9"/>
    <w:rsid w:val="1EC1A519"/>
    <w:rsid w:val="1EFBBBF0"/>
    <w:rsid w:val="1F0A0F31"/>
    <w:rsid w:val="1F11BC24"/>
    <w:rsid w:val="1F22B351"/>
    <w:rsid w:val="1F3860B2"/>
    <w:rsid w:val="1F43B7F5"/>
    <w:rsid w:val="1F46D902"/>
    <w:rsid w:val="1FCFC19E"/>
    <w:rsid w:val="1FD02F68"/>
    <w:rsid w:val="1FD39369"/>
    <w:rsid w:val="1FE82B33"/>
    <w:rsid w:val="2003BB26"/>
    <w:rsid w:val="201CCBC5"/>
    <w:rsid w:val="202A7F03"/>
    <w:rsid w:val="2040B4DF"/>
    <w:rsid w:val="2045E3FB"/>
    <w:rsid w:val="206B4C4D"/>
    <w:rsid w:val="206EC4D3"/>
    <w:rsid w:val="2088715D"/>
    <w:rsid w:val="2098925F"/>
    <w:rsid w:val="2098D0B4"/>
    <w:rsid w:val="20A6C020"/>
    <w:rsid w:val="20AD38F1"/>
    <w:rsid w:val="20C04B5C"/>
    <w:rsid w:val="20C45702"/>
    <w:rsid w:val="20FF6AA4"/>
    <w:rsid w:val="2126B70C"/>
    <w:rsid w:val="212B3D53"/>
    <w:rsid w:val="2150FE4B"/>
    <w:rsid w:val="216061A7"/>
    <w:rsid w:val="217580E6"/>
    <w:rsid w:val="2180A1AE"/>
    <w:rsid w:val="21B382F8"/>
    <w:rsid w:val="21C443C8"/>
    <w:rsid w:val="21C7578F"/>
    <w:rsid w:val="21FDD8DB"/>
    <w:rsid w:val="2203E32E"/>
    <w:rsid w:val="220FD691"/>
    <w:rsid w:val="2216E62C"/>
    <w:rsid w:val="221CF858"/>
    <w:rsid w:val="222958CC"/>
    <w:rsid w:val="222BD0E2"/>
    <w:rsid w:val="22375A3D"/>
    <w:rsid w:val="223F8492"/>
    <w:rsid w:val="2268AB66"/>
    <w:rsid w:val="2278C95B"/>
    <w:rsid w:val="2297DC55"/>
    <w:rsid w:val="22A7E149"/>
    <w:rsid w:val="22C241C3"/>
    <w:rsid w:val="22EAA7BA"/>
    <w:rsid w:val="22FF5270"/>
    <w:rsid w:val="231552EF"/>
    <w:rsid w:val="23A16514"/>
    <w:rsid w:val="23BA86CB"/>
    <w:rsid w:val="240E40C8"/>
    <w:rsid w:val="242244E2"/>
    <w:rsid w:val="2424B14F"/>
    <w:rsid w:val="2474BE7F"/>
    <w:rsid w:val="247BAEEB"/>
    <w:rsid w:val="249D4913"/>
    <w:rsid w:val="24DF0B0C"/>
    <w:rsid w:val="24E8C54C"/>
    <w:rsid w:val="25128255"/>
    <w:rsid w:val="25296C98"/>
    <w:rsid w:val="2539038D"/>
    <w:rsid w:val="2560C41C"/>
    <w:rsid w:val="25823930"/>
    <w:rsid w:val="258C676C"/>
    <w:rsid w:val="258F13C8"/>
    <w:rsid w:val="259BB99C"/>
    <w:rsid w:val="25A26E1B"/>
    <w:rsid w:val="25D15E5B"/>
    <w:rsid w:val="25D227A9"/>
    <w:rsid w:val="25F031F0"/>
    <w:rsid w:val="261C917F"/>
    <w:rsid w:val="261F773D"/>
    <w:rsid w:val="262F2E17"/>
    <w:rsid w:val="26349180"/>
    <w:rsid w:val="2656A6A4"/>
    <w:rsid w:val="265FEBC0"/>
    <w:rsid w:val="2665E50F"/>
    <w:rsid w:val="269FF7B5"/>
    <w:rsid w:val="26BA30E6"/>
    <w:rsid w:val="26C8BE36"/>
    <w:rsid w:val="26D3C33A"/>
    <w:rsid w:val="26D495BD"/>
    <w:rsid w:val="26D9A3FD"/>
    <w:rsid w:val="26F81DB5"/>
    <w:rsid w:val="26FC1479"/>
    <w:rsid w:val="27022423"/>
    <w:rsid w:val="273E6457"/>
    <w:rsid w:val="27483A6B"/>
    <w:rsid w:val="279D42D5"/>
    <w:rsid w:val="279E0513"/>
    <w:rsid w:val="279FD55E"/>
    <w:rsid w:val="27AB5DE0"/>
    <w:rsid w:val="27D12D83"/>
    <w:rsid w:val="27D57FD1"/>
    <w:rsid w:val="27D6E213"/>
    <w:rsid w:val="27FC3B3E"/>
    <w:rsid w:val="282CC504"/>
    <w:rsid w:val="286A5B8D"/>
    <w:rsid w:val="2872094C"/>
    <w:rsid w:val="2888759D"/>
    <w:rsid w:val="28B705D4"/>
    <w:rsid w:val="28BC9930"/>
    <w:rsid w:val="28BEF933"/>
    <w:rsid w:val="28C462EC"/>
    <w:rsid w:val="28D0B86A"/>
    <w:rsid w:val="28D9F237"/>
    <w:rsid w:val="28E590BB"/>
    <w:rsid w:val="2907CAA2"/>
    <w:rsid w:val="291E897E"/>
    <w:rsid w:val="2923B587"/>
    <w:rsid w:val="2936E293"/>
    <w:rsid w:val="2936E4EC"/>
    <w:rsid w:val="29405C3A"/>
    <w:rsid w:val="296405D7"/>
    <w:rsid w:val="2967D278"/>
    <w:rsid w:val="296A2CF5"/>
    <w:rsid w:val="29720822"/>
    <w:rsid w:val="2981B129"/>
    <w:rsid w:val="299363AC"/>
    <w:rsid w:val="29A48AEF"/>
    <w:rsid w:val="29C6A818"/>
    <w:rsid w:val="29F651F6"/>
    <w:rsid w:val="2A02C0F5"/>
    <w:rsid w:val="2A20BFC6"/>
    <w:rsid w:val="2A2B45A8"/>
    <w:rsid w:val="2A3698B8"/>
    <w:rsid w:val="2A40246D"/>
    <w:rsid w:val="2A4A7C03"/>
    <w:rsid w:val="2A82C90F"/>
    <w:rsid w:val="2A9B2922"/>
    <w:rsid w:val="2A9C29BD"/>
    <w:rsid w:val="2AA56D71"/>
    <w:rsid w:val="2AD5D3A7"/>
    <w:rsid w:val="2ADE5E25"/>
    <w:rsid w:val="2ADE6DBC"/>
    <w:rsid w:val="2AE7DF87"/>
    <w:rsid w:val="2AE904CD"/>
    <w:rsid w:val="2AF91A19"/>
    <w:rsid w:val="2B1A07AA"/>
    <w:rsid w:val="2B2332D5"/>
    <w:rsid w:val="2B35705F"/>
    <w:rsid w:val="2B530CAB"/>
    <w:rsid w:val="2B777C94"/>
    <w:rsid w:val="2B8157D4"/>
    <w:rsid w:val="2B8AABA5"/>
    <w:rsid w:val="2B987742"/>
    <w:rsid w:val="2BA99557"/>
    <w:rsid w:val="2BAC566A"/>
    <w:rsid w:val="2BB1A6AD"/>
    <w:rsid w:val="2BBD5161"/>
    <w:rsid w:val="2C466C7A"/>
    <w:rsid w:val="2C515FE4"/>
    <w:rsid w:val="2C55668B"/>
    <w:rsid w:val="2C77D188"/>
    <w:rsid w:val="2C8DFA0E"/>
    <w:rsid w:val="2C954F21"/>
    <w:rsid w:val="2CA349A4"/>
    <w:rsid w:val="2CCEE2E0"/>
    <w:rsid w:val="2CF40A02"/>
    <w:rsid w:val="2CF64B23"/>
    <w:rsid w:val="2D1101FF"/>
    <w:rsid w:val="2D3236C8"/>
    <w:rsid w:val="2D8912C6"/>
    <w:rsid w:val="2D9AB5AF"/>
    <w:rsid w:val="2DFCFEC3"/>
    <w:rsid w:val="2E06D279"/>
    <w:rsid w:val="2E816118"/>
    <w:rsid w:val="2E920BED"/>
    <w:rsid w:val="2E9DEE0C"/>
    <w:rsid w:val="2EB871AB"/>
    <w:rsid w:val="2ECFC533"/>
    <w:rsid w:val="2F063605"/>
    <w:rsid w:val="2F2A8298"/>
    <w:rsid w:val="2F39EBEE"/>
    <w:rsid w:val="2F507F31"/>
    <w:rsid w:val="2F66CA29"/>
    <w:rsid w:val="2F800C69"/>
    <w:rsid w:val="2FBC37AC"/>
    <w:rsid w:val="2FC21993"/>
    <w:rsid w:val="3011822B"/>
    <w:rsid w:val="302D1C02"/>
    <w:rsid w:val="3055851C"/>
    <w:rsid w:val="3058A271"/>
    <w:rsid w:val="305F84E5"/>
    <w:rsid w:val="3060DDB4"/>
    <w:rsid w:val="308E4F34"/>
    <w:rsid w:val="30FEAD09"/>
    <w:rsid w:val="311924DB"/>
    <w:rsid w:val="3124632B"/>
    <w:rsid w:val="3129BDA2"/>
    <w:rsid w:val="3135E8BD"/>
    <w:rsid w:val="315721A6"/>
    <w:rsid w:val="3169A4BC"/>
    <w:rsid w:val="3169BC86"/>
    <w:rsid w:val="319A4F01"/>
    <w:rsid w:val="319D83A0"/>
    <w:rsid w:val="31A1D47D"/>
    <w:rsid w:val="31C00EEC"/>
    <w:rsid w:val="31DB53C8"/>
    <w:rsid w:val="31E2F7DE"/>
    <w:rsid w:val="31E863B7"/>
    <w:rsid w:val="32097CBC"/>
    <w:rsid w:val="3214BFFB"/>
    <w:rsid w:val="322BE157"/>
    <w:rsid w:val="325A2557"/>
    <w:rsid w:val="32666D18"/>
    <w:rsid w:val="327234EF"/>
    <w:rsid w:val="32804CB5"/>
    <w:rsid w:val="32B28BB5"/>
    <w:rsid w:val="32CCA86E"/>
    <w:rsid w:val="32D5F4F4"/>
    <w:rsid w:val="32DB88B7"/>
    <w:rsid w:val="32F5B2B3"/>
    <w:rsid w:val="334DEF21"/>
    <w:rsid w:val="335DF51C"/>
    <w:rsid w:val="3367FC75"/>
    <w:rsid w:val="3396A1FC"/>
    <w:rsid w:val="33D7F6EB"/>
    <w:rsid w:val="33DE1475"/>
    <w:rsid w:val="33E0F6A2"/>
    <w:rsid w:val="34515954"/>
    <w:rsid w:val="34550EAC"/>
    <w:rsid w:val="349CA601"/>
    <w:rsid w:val="34BAB884"/>
    <w:rsid w:val="350410A0"/>
    <w:rsid w:val="35189D58"/>
    <w:rsid w:val="3545826B"/>
    <w:rsid w:val="3551F256"/>
    <w:rsid w:val="35682BB2"/>
    <w:rsid w:val="35977007"/>
    <w:rsid w:val="35CC89BE"/>
    <w:rsid w:val="35EAED37"/>
    <w:rsid w:val="35F14A48"/>
    <w:rsid w:val="35FB0A8D"/>
    <w:rsid w:val="3610932F"/>
    <w:rsid w:val="3621BB75"/>
    <w:rsid w:val="362DCD0B"/>
    <w:rsid w:val="36536C1E"/>
    <w:rsid w:val="368060F5"/>
    <w:rsid w:val="368C0E56"/>
    <w:rsid w:val="368DC92B"/>
    <w:rsid w:val="370328AE"/>
    <w:rsid w:val="3726B0A6"/>
    <w:rsid w:val="3763B6BC"/>
    <w:rsid w:val="376A1F91"/>
    <w:rsid w:val="3789100F"/>
    <w:rsid w:val="379D33E2"/>
    <w:rsid w:val="37C79BD2"/>
    <w:rsid w:val="37D79751"/>
    <w:rsid w:val="37DF0025"/>
    <w:rsid w:val="37E481DA"/>
    <w:rsid w:val="3802F4FE"/>
    <w:rsid w:val="3810181B"/>
    <w:rsid w:val="3819D860"/>
    <w:rsid w:val="38411827"/>
    <w:rsid w:val="386EC719"/>
    <w:rsid w:val="387E5461"/>
    <w:rsid w:val="38A268E8"/>
    <w:rsid w:val="38D2E7F8"/>
    <w:rsid w:val="38EDBE1B"/>
    <w:rsid w:val="38F465A4"/>
    <w:rsid w:val="39044483"/>
    <w:rsid w:val="39065F31"/>
    <w:rsid w:val="391F10D9"/>
    <w:rsid w:val="393CC7A5"/>
    <w:rsid w:val="393DF001"/>
    <w:rsid w:val="397B32B6"/>
    <w:rsid w:val="399A4F60"/>
    <w:rsid w:val="39A0B5F4"/>
    <w:rsid w:val="39B19546"/>
    <w:rsid w:val="39C02477"/>
    <w:rsid w:val="39CB56EC"/>
    <w:rsid w:val="39D9FBF6"/>
    <w:rsid w:val="39DBC92F"/>
    <w:rsid w:val="39F15D37"/>
    <w:rsid w:val="3A0F60A1"/>
    <w:rsid w:val="3A0FC944"/>
    <w:rsid w:val="3A284AA3"/>
    <w:rsid w:val="3A3C7DCA"/>
    <w:rsid w:val="3A4F0936"/>
    <w:rsid w:val="3A5CF5A1"/>
    <w:rsid w:val="3A635946"/>
    <w:rsid w:val="3A67DD98"/>
    <w:rsid w:val="3A7E30E5"/>
    <w:rsid w:val="3A9F0475"/>
    <w:rsid w:val="3AADCEF2"/>
    <w:rsid w:val="3ACE3C88"/>
    <w:rsid w:val="3AD69435"/>
    <w:rsid w:val="3AF10134"/>
    <w:rsid w:val="3AFEA51C"/>
    <w:rsid w:val="3B6C6B63"/>
    <w:rsid w:val="3B85A2A1"/>
    <w:rsid w:val="3B8C2A72"/>
    <w:rsid w:val="3B95F285"/>
    <w:rsid w:val="3B9EA959"/>
    <w:rsid w:val="3BB1BFC8"/>
    <w:rsid w:val="3BCA5212"/>
    <w:rsid w:val="3BD1C890"/>
    <w:rsid w:val="3BDBE1A0"/>
    <w:rsid w:val="3C5948F1"/>
    <w:rsid w:val="3C5EDB8F"/>
    <w:rsid w:val="3C73450A"/>
    <w:rsid w:val="3C836D97"/>
    <w:rsid w:val="3CAADA76"/>
    <w:rsid w:val="3CABD2C1"/>
    <w:rsid w:val="3CB83BF9"/>
    <w:rsid w:val="3CBD92D4"/>
    <w:rsid w:val="3CBFA1EB"/>
    <w:rsid w:val="3CC87AB1"/>
    <w:rsid w:val="3CCB7161"/>
    <w:rsid w:val="3CD3B42C"/>
    <w:rsid w:val="3CE2F6C5"/>
    <w:rsid w:val="3CF29F81"/>
    <w:rsid w:val="3D01939E"/>
    <w:rsid w:val="3D01DB9F"/>
    <w:rsid w:val="3D0CD2B2"/>
    <w:rsid w:val="3D1D4361"/>
    <w:rsid w:val="3D215CF0"/>
    <w:rsid w:val="3D2F0BF2"/>
    <w:rsid w:val="3D429D07"/>
    <w:rsid w:val="3D62CC0E"/>
    <w:rsid w:val="3D77FDF5"/>
    <w:rsid w:val="3D98B378"/>
    <w:rsid w:val="3D9FD672"/>
    <w:rsid w:val="3DAC1A97"/>
    <w:rsid w:val="3DC4E66E"/>
    <w:rsid w:val="3DCBCEB9"/>
    <w:rsid w:val="3DD42B7E"/>
    <w:rsid w:val="3DD4D826"/>
    <w:rsid w:val="3DD5DC13"/>
    <w:rsid w:val="3DD5E653"/>
    <w:rsid w:val="3DDEE6BE"/>
    <w:rsid w:val="3DE8FCC2"/>
    <w:rsid w:val="3DE905E2"/>
    <w:rsid w:val="3DF5D068"/>
    <w:rsid w:val="3E08904B"/>
    <w:rsid w:val="3E1D3F3F"/>
    <w:rsid w:val="3E224D35"/>
    <w:rsid w:val="3E5A644C"/>
    <w:rsid w:val="3E6C9F74"/>
    <w:rsid w:val="3E6D9AC1"/>
    <w:rsid w:val="3E800212"/>
    <w:rsid w:val="3E9A9D8D"/>
    <w:rsid w:val="3EDBB283"/>
    <w:rsid w:val="3EE1A6D0"/>
    <w:rsid w:val="3EEC66F5"/>
    <w:rsid w:val="3F262A14"/>
    <w:rsid w:val="3F54C7EC"/>
    <w:rsid w:val="3F6454B2"/>
    <w:rsid w:val="3F85976C"/>
    <w:rsid w:val="3FAA647F"/>
    <w:rsid w:val="3FB99792"/>
    <w:rsid w:val="3FC10AC8"/>
    <w:rsid w:val="3FE1E75F"/>
    <w:rsid w:val="3FE68E6F"/>
    <w:rsid w:val="3FEB69F7"/>
    <w:rsid w:val="3FF107D2"/>
    <w:rsid w:val="3FF6AAAB"/>
    <w:rsid w:val="3FF83290"/>
    <w:rsid w:val="3FFF13C1"/>
    <w:rsid w:val="401C5A5F"/>
    <w:rsid w:val="401CBE22"/>
    <w:rsid w:val="405575E1"/>
    <w:rsid w:val="405ADDFF"/>
    <w:rsid w:val="4060CE79"/>
    <w:rsid w:val="4064BAD8"/>
    <w:rsid w:val="408146EA"/>
    <w:rsid w:val="40C2CBE4"/>
    <w:rsid w:val="40CF5D71"/>
    <w:rsid w:val="40DEFA19"/>
    <w:rsid w:val="40FFE2AB"/>
    <w:rsid w:val="4113540B"/>
    <w:rsid w:val="412905DC"/>
    <w:rsid w:val="413C1C4B"/>
    <w:rsid w:val="41453FA8"/>
    <w:rsid w:val="414F56D6"/>
    <w:rsid w:val="41681CB1"/>
    <w:rsid w:val="418E96C8"/>
    <w:rsid w:val="41944DC5"/>
    <w:rsid w:val="4194B76B"/>
    <w:rsid w:val="41979382"/>
    <w:rsid w:val="41AD6E19"/>
    <w:rsid w:val="41FB5ED7"/>
    <w:rsid w:val="42043CE9"/>
    <w:rsid w:val="420B3A64"/>
    <w:rsid w:val="42308CC8"/>
    <w:rsid w:val="4247D48E"/>
    <w:rsid w:val="4252C109"/>
    <w:rsid w:val="42665DDD"/>
    <w:rsid w:val="4267924D"/>
    <w:rsid w:val="427B2F21"/>
    <w:rsid w:val="4291FE9D"/>
    <w:rsid w:val="429E31AF"/>
    <w:rsid w:val="42AEF038"/>
    <w:rsid w:val="42E4A071"/>
    <w:rsid w:val="430A5367"/>
    <w:rsid w:val="432F9864"/>
    <w:rsid w:val="4348C699"/>
    <w:rsid w:val="435E8C42"/>
    <w:rsid w:val="43645FA8"/>
    <w:rsid w:val="4374EAF1"/>
    <w:rsid w:val="438031EA"/>
    <w:rsid w:val="43930D67"/>
    <w:rsid w:val="43D0DEA2"/>
    <w:rsid w:val="43D2E35F"/>
    <w:rsid w:val="43D6FE7F"/>
    <w:rsid w:val="43E596B2"/>
    <w:rsid w:val="43EC49B5"/>
    <w:rsid w:val="43FA67F6"/>
    <w:rsid w:val="440463CC"/>
    <w:rsid w:val="44122A5F"/>
    <w:rsid w:val="441B1837"/>
    <w:rsid w:val="44416931"/>
    <w:rsid w:val="444B80CB"/>
    <w:rsid w:val="44639562"/>
    <w:rsid w:val="446E0CA4"/>
    <w:rsid w:val="447D535A"/>
    <w:rsid w:val="4492C38C"/>
    <w:rsid w:val="449BC9D7"/>
    <w:rsid w:val="44CBCE33"/>
    <w:rsid w:val="44F05E44"/>
    <w:rsid w:val="452800C1"/>
    <w:rsid w:val="452C7FE8"/>
    <w:rsid w:val="4544D364"/>
    <w:rsid w:val="4598AC49"/>
    <w:rsid w:val="4598B6FA"/>
    <w:rsid w:val="45A85FBF"/>
    <w:rsid w:val="45B6CCD4"/>
    <w:rsid w:val="45F8EE4D"/>
    <w:rsid w:val="463FBD98"/>
    <w:rsid w:val="46442F7A"/>
    <w:rsid w:val="464CFC79"/>
    <w:rsid w:val="4655857B"/>
    <w:rsid w:val="466768F6"/>
    <w:rsid w:val="46856E35"/>
    <w:rsid w:val="46AC5FE5"/>
    <w:rsid w:val="46AE8BB4"/>
    <w:rsid w:val="46B8A098"/>
    <w:rsid w:val="46D47A3C"/>
    <w:rsid w:val="46EBF4E7"/>
    <w:rsid w:val="4706B0DB"/>
    <w:rsid w:val="4719B604"/>
    <w:rsid w:val="471EAA48"/>
    <w:rsid w:val="471F49E1"/>
    <w:rsid w:val="4752FCDD"/>
    <w:rsid w:val="4756F770"/>
    <w:rsid w:val="476B0D57"/>
    <w:rsid w:val="477448B3"/>
    <w:rsid w:val="4789FA52"/>
    <w:rsid w:val="47B2063A"/>
    <w:rsid w:val="47F0A852"/>
    <w:rsid w:val="47F25876"/>
    <w:rsid w:val="4840E311"/>
    <w:rsid w:val="4860E869"/>
    <w:rsid w:val="48705CD8"/>
    <w:rsid w:val="4871AC8B"/>
    <w:rsid w:val="487B829F"/>
    <w:rsid w:val="48935B73"/>
    <w:rsid w:val="48939EA4"/>
    <w:rsid w:val="48E129CF"/>
    <w:rsid w:val="48F7F433"/>
    <w:rsid w:val="48FB4BD4"/>
    <w:rsid w:val="492620BE"/>
    <w:rsid w:val="493A4FF2"/>
    <w:rsid w:val="4944AA0D"/>
    <w:rsid w:val="495D3655"/>
    <w:rsid w:val="49A05FE6"/>
    <w:rsid w:val="49AF8EB2"/>
    <w:rsid w:val="49E72141"/>
    <w:rsid w:val="49FE4D6E"/>
    <w:rsid w:val="49FF14E8"/>
    <w:rsid w:val="4A2D9198"/>
    <w:rsid w:val="4A36CDBD"/>
    <w:rsid w:val="4A3CD431"/>
    <w:rsid w:val="4A72D7C9"/>
    <w:rsid w:val="4A9E6D44"/>
    <w:rsid w:val="4AA02819"/>
    <w:rsid w:val="4AA1DBCD"/>
    <w:rsid w:val="4AB7D88A"/>
    <w:rsid w:val="4AD3D89E"/>
    <w:rsid w:val="4AFC2D69"/>
    <w:rsid w:val="4AFEC0B5"/>
    <w:rsid w:val="4B292AEB"/>
    <w:rsid w:val="4B4E9F04"/>
    <w:rsid w:val="4B57DCC7"/>
    <w:rsid w:val="4B58C3B6"/>
    <w:rsid w:val="4B754FAF"/>
    <w:rsid w:val="4B7A36CA"/>
    <w:rsid w:val="4B81933A"/>
    <w:rsid w:val="4B8F9F86"/>
    <w:rsid w:val="4B95D1C2"/>
    <w:rsid w:val="4B99B1F3"/>
    <w:rsid w:val="4BDCDAB0"/>
    <w:rsid w:val="4BE80902"/>
    <w:rsid w:val="4C017EC7"/>
    <w:rsid w:val="4C0B8FE6"/>
    <w:rsid w:val="4C113CA8"/>
    <w:rsid w:val="4C1446A1"/>
    <w:rsid w:val="4C40468A"/>
    <w:rsid w:val="4C54EEED"/>
    <w:rsid w:val="4C62149F"/>
    <w:rsid w:val="4C90ACBB"/>
    <w:rsid w:val="4D1DF91A"/>
    <w:rsid w:val="4D28225D"/>
    <w:rsid w:val="4D379D60"/>
    <w:rsid w:val="4D5022B2"/>
    <w:rsid w:val="4D64DD4A"/>
    <w:rsid w:val="4DCF6FF6"/>
    <w:rsid w:val="4E1BF8C6"/>
    <w:rsid w:val="4E27E9AE"/>
    <w:rsid w:val="4E4AD611"/>
    <w:rsid w:val="4E6B8652"/>
    <w:rsid w:val="4E7D5888"/>
    <w:rsid w:val="4E805796"/>
    <w:rsid w:val="4E878666"/>
    <w:rsid w:val="4E97AEF3"/>
    <w:rsid w:val="4EA7C66D"/>
    <w:rsid w:val="4EA8FF33"/>
    <w:rsid w:val="4ED0F83A"/>
    <w:rsid w:val="4F38437A"/>
    <w:rsid w:val="4F5B3090"/>
    <w:rsid w:val="4F750EAC"/>
    <w:rsid w:val="4F78101D"/>
    <w:rsid w:val="4F7BF1E4"/>
    <w:rsid w:val="4FA39E15"/>
    <w:rsid w:val="4FAFEA6A"/>
    <w:rsid w:val="4FBC903E"/>
    <w:rsid w:val="4FD2169B"/>
    <w:rsid w:val="4FDFF2E0"/>
    <w:rsid w:val="5028B7B9"/>
    <w:rsid w:val="50434757"/>
    <w:rsid w:val="504991AA"/>
    <w:rsid w:val="507FD055"/>
    <w:rsid w:val="508551EA"/>
    <w:rsid w:val="508B8909"/>
    <w:rsid w:val="50B4727A"/>
    <w:rsid w:val="50B51660"/>
    <w:rsid w:val="50CA1482"/>
    <w:rsid w:val="50CC3523"/>
    <w:rsid w:val="50D43C3D"/>
    <w:rsid w:val="50DF6C2B"/>
    <w:rsid w:val="50E2A567"/>
    <w:rsid w:val="50ECAF52"/>
    <w:rsid w:val="50F7F17D"/>
    <w:rsid w:val="50FD0A6E"/>
    <w:rsid w:val="510E7E91"/>
    <w:rsid w:val="51111346"/>
    <w:rsid w:val="51146E6C"/>
    <w:rsid w:val="51170E0E"/>
    <w:rsid w:val="5119FC09"/>
    <w:rsid w:val="5141E4CB"/>
    <w:rsid w:val="515A387B"/>
    <w:rsid w:val="515D98AD"/>
    <w:rsid w:val="515E3CD3"/>
    <w:rsid w:val="516295DA"/>
    <w:rsid w:val="51873198"/>
    <w:rsid w:val="5189C14E"/>
    <w:rsid w:val="51903FFD"/>
    <w:rsid w:val="51B760E0"/>
    <w:rsid w:val="51DCB44D"/>
    <w:rsid w:val="51E4DA2F"/>
    <w:rsid w:val="51EF854E"/>
    <w:rsid w:val="5209813F"/>
    <w:rsid w:val="520CF4B3"/>
    <w:rsid w:val="52201298"/>
    <w:rsid w:val="5221E398"/>
    <w:rsid w:val="524088E9"/>
    <w:rsid w:val="5257D6F7"/>
    <w:rsid w:val="52689979"/>
    <w:rsid w:val="52917711"/>
    <w:rsid w:val="52A29538"/>
    <w:rsid w:val="52A3EB66"/>
    <w:rsid w:val="52BFFB11"/>
    <w:rsid w:val="530E9FDB"/>
    <w:rsid w:val="531141E2"/>
    <w:rsid w:val="533FF89C"/>
    <w:rsid w:val="5361087C"/>
    <w:rsid w:val="538A6187"/>
    <w:rsid w:val="53953E6B"/>
    <w:rsid w:val="53D29B6C"/>
    <w:rsid w:val="53D53294"/>
    <w:rsid w:val="53DA355A"/>
    <w:rsid w:val="53EA5DE7"/>
    <w:rsid w:val="541F7949"/>
    <w:rsid w:val="5448418B"/>
    <w:rsid w:val="5464BD0E"/>
    <w:rsid w:val="547769F9"/>
    <w:rsid w:val="547BD3A9"/>
    <w:rsid w:val="5487FEC4"/>
    <w:rsid w:val="5492BEE9"/>
    <w:rsid w:val="549B54FA"/>
    <w:rsid w:val="54B12DF0"/>
    <w:rsid w:val="54B32B46"/>
    <w:rsid w:val="55273F33"/>
    <w:rsid w:val="5576E117"/>
    <w:rsid w:val="557E8425"/>
    <w:rsid w:val="5611887F"/>
    <w:rsid w:val="5623B4FF"/>
    <w:rsid w:val="5624D1BF"/>
    <w:rsid w:val="56401E9C"/>
    <w:rsid w:val="5646C5DD"/>
    <w:rsid w:val="564B6521"/>
    <w:rsid w:val="564D2EC1"/>
    <w:rsid w:val="5668B4E8"/>
    <w:rsid w:val="56826038"/>
    <w:rsid w:val="5682A80F"/>
    <w:rsid w:val="568BEEA8"/>
    <w:rsid w:val="568CBFA9"/>
    <w:rsid w:val="569632D5"/>
    <w:rsid w:val="56C57B5A"/>
    <w:rsid w:val="56E8B803"/>
    <w:rsid w:val="56E95965"/>
    <w:rsid w:val="57281CA6"/>
    <w:rsid w:val="57692C3A"/>
    <w:rsid w:val="578631CB"/>
    <w:rsid w:val="579E0BAF"/>
    <w:rsid w:val="57A2B6C4"/>
    <w:rsid w:val="57A82C65"/>
    <w:rsid w:val="57AABC1B"/>
    <w:rsid w:val="57BCBA63"/>
    <w:rsid w:val="57D4E9E7"/>
    <w:rsid w:val="57E07071"/>
    <w:rsid w:val="5813C7E2"/>
    <w:rsid w:val="582BBC50"/>
    <w:rsid w:val="585C7EF3"/>
    <w:rsid w:val="58873F58"/>
    <w:rsid w:val="589AC068"/>
    <w:rsid w:val="58A9D2A7"/>
    <w:rsid w:val="58BD3616"/>
    <w:rsid w:val="58D31DFB"/>
    <w:rsid w:val="591A1D56"/>
    <w:rsid w:val="591FB119"/>
    <w:rsid w:val="59347E18"/>
    <w:rsid w:val="59546950"/>
    <w:rsid w:val="597CA175"/>
    <w:rsid w:val="598B78D3"/>
    <w:rsid w:val="599CCB51"/>
    <w:rsid w:val="59A58225"/>
    <w:rsid w:val="59B8EC0F"/>
    <w:rsid w:val="59DA078B"/>
    <w:rsid w:val="59DE245D"/>
    <w:rsid w:val="59DFDF32"/>
    <w:rsid w:val="59E8C4E4"/>
    <w:rsid w:val="59EB4CFA"/>
    <w:rsid w:val="59F12C17"/>
    <w:rsid w:val="59FA6814"/>
    <w:rsid w:val="5A107A97"/>
    <w:rsid w:val="5A513636"/>
    <w:rsid w:val="5A84AD81"/>
    <w:rsid w:val="5AB4605A"/>
    <w:rsid w:val="5ACBC52C"/>
    <w:rsid w:val="5AD514F9"/>
    <w:rsid w:val="5ADAC562"/>
    <w:rsid w:val="5B18019C"/>
    <w:rsid w:val="5B3697E1"/>
    <w:rsid w:val="5B4AD12C"/>
    <w:rsid w:val="5B535030"/>
    <w:rsid w:val="5B60DDD8"/>
    <w:rsid w:val="5B7738A1"/>
    <w:rsid w:val="5B7CC2BF"/>
    <w:rsid w:val="5B8584FB"/>
    <w:rsid w:val="5BBD3B57"/>
    <w:rsid w:val="5BD8251D"/>
    <w:rsid w:val="5BFEBA6E"/>
    <w:rsid w:val="5C1BA388"/>
    <w:rsid w:val="5C24F2C0"/>
    <w:rsid w:val="5C271E5C"/>
    <w:rsid w:val="5C32B105"/>
    <w:rsid w:val="5C4C56D5"/>
    <w:rsid w:val="5C4F7A96"/>
    <w:rsid w:val="5CB76A52"/>
    <w:rsid w:val="5CBC2C92"/>
    <w:rsid w:val="5CC0683A"/>
    <w:rsid w:val="5CE60A15"/>
    <w:rsid w:val="5D085A01"/>
    <w:rsid w:val="5D0E31A8"/>
    <w:rsid w:val="5D21754F"/>
    <w:rsid w:val="5D9064D1"/>
    <w:rsid w:val="5D983726"/>
    <w:rsid w:val="5DAB6DC5"/>
    <w:rsid w:val="5DBBC424"/>
    <w:rsid w:val="5DCC582F"/>
    <w:rsid w:val="5DDD64BC"/>
    <w:rsid w:val="5DECF9DB"/>
    <w:rsid w:val="5E03C17E"/>
    <w:rsid w:val="5E20528F"/>
    <w:rsid w:val="5E2D6E55"/>
    <w:rsid w:val="5E307B1C"/>
    <w:rsid w:val="5E34F1FD"/>
    <w:rsid w:val="5E5221FC"/>
    <w:rsid w:val="5E587C10"/>
    <w:rsid w:val="5E65497E"/>
    <w:rsid w:val="5E6D3B08"/>
    <w:rsid w:val="5E7E518F"/>
    <w:rsid w:val="5EA35405"/>
    <w:rsid w:val="5EDC8537"/>
    <w:rsid w:val="5EDD2C57"/>
    <w:rsid w:val="5EDDAD0E"/>
    <w:rsid w:val="5EF0BF60"/>
    <w:rsid w:val="5F0F2211"/>
    <w:rsid w:val="5F12B3C1"/>
    <w:rsid w:val="5F248C39"/>
    <w:rsid w:val="5F2A1D13"/>
    <w:rsid w:val="5F2D324C"/>
    <w:rsid w:val="5F8A9D61"/>
    <w:rsid w:val="5FAB1E98"/>
    <w:rsid w:val="5FD37952"/>
    <w:rsid w:val="5FD4EAAA"/>
    <w:rsid w:val="5FE3AFD0"/>
    <w:rsid w:val="5FE59B18"/>
    <w:rsid w:val="5FEC405F"/>
    <w:rsid w:val="5FEC9DBC"/>
    <w:rsid w:val="60103FB9"/>
    <w:rsid w:val="6053A9A5"/>
    <w:rsid w:val="6053C049"/>
    <w:rsid w:val="605EE8B9"/>
    <w:rsid w:val="6065DA6F"/>
    <w:rsid w:val="606884ED"/>
    <w:rsid w:val="6088FC66"/>
    <w:rsid w:val="60A8FAF7"/>
    <w:rsid w:val="60C00E70"/>
    <w:rsid w:val="60C5B845"/>
    <w:rsid w:val="60C618E8"/>
    <w:rsid w:val="60CA13FC"/>
    <w:rsid w:val="60E374B7"/>
    <w:rsid w:val="60ECA517"/>
    <w:rsid w:val="61015BE9"/>
    <w:rsid w:val="6113B49D"/>
    <w:rsid w:val="611DE4C0"/>
    <w:rsid w:val="6130264E"/>
    <w:rsid w:val="614042C7"/>
    <w:rsid w:val="61480315"/>
    <w:rsid w:val="6149FE5C"/>
    <w:rsid w:val="6177C21A"/>
    <w:rsid w:val="619A5B58"/>
    <w:rsid w:val="61C645C2"/>
    <w:rsid w:val="61F91053"/>
    <w:rsid w:val="62049F23"/>
    <w:rsid w:val="621E048B"/>
    <w:rsid w:val="62200DF5"/>
    <w:rsid w:val="622DC88A"/>
    <w:rsid w:val="6263875F"/>
    <w:rsid w:val="627A739A"/>
    <w:rsid w:val="628104F8"/>
    <w:rsid w:val="628277CC"/>
    <w:rsid w:val="62AC0F3B"/>
    <w:rsid w:val="62C27674"/>
    <w:rsid w:val="62D7AD73"/>
    <w:rsid w:val="63132345"/>
    <w:rsid w:val="631CA462"/>
    <w:rsid w:val="6321F69F"/>
    <w:rsid w:val="636C1616"/>
    <w:rsid w:val="637E7FDD"/>
    <w:rsid w:val="63806884"/>
    <w:rsid w:val="639620B7"/>
    <w:rsid w:val="63C013B1"/>
    <w:rsid w:val="63D16E12"/>
    <w:rsid w:val="641F9CDF"/>
    <w:rsid w:val="64311020"/>
    <w:rsid w:val="643A309A"/>
    <w:rsid w:val="64721852"/>
    <w:rsid w:val="648F6142"/>
    <w:rsid w:val="64914450"/>
    <w:rsid w:val="64F2C738"/>
    <w:rsid w:val="655032A6"/>
    <w:rsid w:val="657059CB"/>
    <w:rsid w:val="65731753"/>
    <w:rsid w:val="6579A4BF"/>
    <w:rsid w:val="65B13A7C"/>
    <w:rsid w:val="65B873E4"/>
    <w:rsid w:val="65B993B5"/>
    <w:rsid w:val="65F1FA7C"/>
    <w:rsid w:val="661222F4"/>
    <w:rsid w:val="666546AF"/>
    <w:rsid w:val="6665F439"/>
    <w:rsid w:val="66697709"/>
    <w:rsid w:val="6676BE64"/>
    <w:rsid w:val="668C4FE4"/>
    <w:rsid w:val="66A43326"/>
    <w:rsid w:val="66D301A8"/>
    <w:rsid w:val="66E60449"/>
    <w:rsid w:val="66ECD6AD"/>
    <w:rsid w:val="66F94EE7"/>
    <w:rsid w:val="6707B03D"/>
    <w:rsid w:val="671BB73D"/>
    <w:rsid w:val="67B4FCE4"/>
    <w:rsid w:val="67BFCFA1"/>
    <w:rsid w:val="67CF7BB9"/>
    <w:rsid w:val="67E26344"/>
    <w:rsid w:val="67E42A74"/>
    <w:rsid w:val="67F7D40D"/>
    <w:rsid w:val="684FF02E"/>
    <w:rsid w:val="689459B5"/>
    <w:rsid w:val="68B33A77"/>
    <w:rsid w:val="68BF8F53"/>
    <w:rsid w:val="68C3C4AE"/>
    <w:rsid w:val="68C8A5CF"/>
    <w:rsid w:val="68E25A11"/>
    <w:rsid w:val="68E5F7F4"/>
    <w:rsid w:val="68F89E80"/>
    <w:rsid w:val="68FD90D7"/>
    <w:rsid w:val="691CC92C"/>
    <w:rsid w:val="692BF41E"/>
    <w:rsid w:val="693D0933"/>
    <w:rsid w:val="6940938C"/>
    <w:rsid w:val="697DAC62"/>
    <w:rsid w:val="698F5655"/>
    <w:rsid w:val="69A37336"/>
    <w:rsid w:val="69B24D0B"/>
    <w:rsid w:val="69B84947"/>
    <w:rsid w:val="69DEF07E"/>
    <w:rsid w:val="69FDA392"/>
    <w:rsid w:val="6A3423AE"/>
    <w:rsid w:val="6A54B8C5"/>
    <w:rsid w:val="6A5F4099"/>
    <w:rsid w:val="6A6521EB"/>
    <w:rsid w:val="6A86AF70"/>
    <w:rsid w:val="6ADF662C"/>
    <w:rsid w:val="6AF6EDC4"/>
    <w:rsid w:val="6B0127E4"/>
    <w:rsid w:val="6B462E6A"/>
    <w:rsid w:val="6B841F03"/>
    <w:rsid w:val="6B928762"/>
    <w:rsid w:val="6BBDE4DA"/>
    <w:rsid w:val="6BC272DF"/>
    <w:rsid w:val="6C0A48FB"/>
    <w:rsid w:val="6C19635B"/>
    <w:rsid w:val="6C3820B0"/>
    <w:rsid w:val="6C5B0BDE"/>
    <w:rsid w:val="6C6E9288"/>
    <w:rsid w:val="6CA982B6"/>
    <w:rsid w:val="6CC3E0B7"/>
    <w:rsid w:val="6CD31CD6"/>
    <w:rsid w:val="6D063FEB"/>
    <w:rsid w:val="6D3C2BEB"/>
    <w:rsid w:val="6D5EB4AD"/>
    <w:rsid w:val="6D62D2AA"/>
    <w:rsid w:val="6D64444C"/>
    <w:rsid w:val="6DA42281"/>
    <w:rsid w:val="6DE5DBB2"/>
    <w:rsid w:val="6E2B01FD"/>
    <w:rsid w:val="6E663CDD"/>
    <w:rsid w:val="6E6AFBBF"/>
    <w:rsid w:val="6EA725AF"/>
    <w:rsid w:val="6EB75978"/>
    <w:rsid w:val="6EEFD0AC"/>
    <w:rsid w:val="6F1D3430"/>
    <w:rsid w:val="6F2C8C8F"/>
    <w:rsid w:val="6F334346"/>
    <w:rsid w:val="6F4FC4FC"/>
    <w:rsid w:val="6F6BFB79"/>
    <w:rsid w:val="6F7BAB35"/>
    <w:rsid w:val="6F851527"/>
    <w:rsid w:val="6F92F125"/>
    <w:rsid w:val="6FD027A1"/>
    <w:rsid w:val="6FFDE27B"/>
    <w:rsid w:val="6FFED901"/>
    <w:rsid w:val="700E5404"/>
    <w:rsid w:val="70238AEA"/>
    <w:rsid w:val="703626EF"/>
    <w:rsid w:val="704C772D"/>
    <w:rsid w:val="706366AD"/>
    <w:rsid w:val="70921FC3"/>
    <w:rsid w:val="70B46517"/>
    <w:rsid w:val="70B7063C"/>
    <w:rsid w:val="70E3C89A"/>
    <w:rsid w:val="70E4834C"/>
    <w:rsid w:val="710345E7"/>
    <w:rsid w:val="71173A10"/>
    <w:rsid w:val="713581D9"/>
    <w:rsid w:val="714355A2"/>
    <w:rsid w:val="7179FFB5"/>
    <w:rsid w:val="717AA966"/>
    <w:rsid w:val="718C9444"/>
    <w:rsid w:val="71947EE8"/>
    <w:rsid w:val="719CEC18"/>
    <w:rsid w:val="719D1356"/>
    <w:rsid w:val="719D4627"/>
    <w:rsid w:val="71AC77EA"/>
    <w:rsid w:val="71F19F30"/>
    <w:rsid w:val="720FD614"/>
    <w:rsid w:val="721B4F88"/>
    <w:rsid w:val="72217AAA"/>
    <w:rsid w:val="72516D84"/>
    <w:rsid w:val="726B937C"/>
    <w:rsid w:val="7289339F"/>
    <w:rsid w:val="72B973AF"/>
    <w:rsid w:val="72D56891"/>
    <w:rsid w:val="72E718BC"/>
    <w:rsid w:val="72F1D7E4"/>
    <w:rsid w:val="72F220E0"/>
    <w:rsid w:val="734C5B0C"/>
    <w:rsid w:val="736036BA"/>
    <w:rsid w:val="73A8AD19"/>
    <w:rsid w:val="74068881"/>
    <w:rsid w:val="742A1079"/>
    <w:rsid w:val="74494B2C"/>
    <w:rsid w:val="7465B2D3"/>
    <w:rsid w:val="746B7A98"/>
    <w:rsid w:val="746C1210"/>
    <w:rsid w:val="74E75C2A"/>
    <w:rsid w:val="74F2C295"/>
    <w:rsid w:val="7563357D"/>
    <w:rsid w:val="75930964"/>
    <w:rsid w:val="75B11172"/>
    <w:rsid w:val="75C84F64"/>
    <w:rsid w:val="75CCD645"/>
    <w:rsid w:val="760B5916"/>
    <w:rsid w:val="7635FDD3"/>
    <w:rsid w:val="765ABF37"/>
    <w:rsid w:val="7669E3AE"/>
    <w:rsid w:val="768ADFE3"/>
    <w:rsid w:val="76901AFB"/>
    <w:rsid w:val="76ADCC46"/>
    <w:rsid w:val="76B31E83"/>
    <w:rsid w:val="76F4ED49"/>
    <w:rsid w:val="77045C38"/>
    <w:rsid w:val="77261317"/>
    <w:rsid w:val="774B5064"/>
    <w:rsid w:val="774C8B68"/>
    <w:rsid w:val="77553BA8"/>
    <w:rsid w:val="77565792"/>
    <w:rsid w:val="775AE192"/>
    <w:rsid w:val="7778CA34"/>
    <w:rsid w:val="778D1BBF"/>
    <w:rsid w:val="77948664"/>
    <w:rsid w:val="779E6C0F"/>
    <w:rsid w:val="77CBA459"/>
    <w:rsid w:val="77CCD314"/>
    <w:rsid w:val="77DA14CB"/>
    <w:rsid w:val="77FAE732"/>
    <w:rsid w:val="7818444B"/>
    <w:rsid w:val="7827E933"/>
    <w:rsid w:val="782E7FB7"/>
    <w:rsid w:val="7881FE9A"/>
    <w:rsid w:val="78889F30"/>
    <w:rsid w:val="78A924E8"/>
    <w:rsid w:val="78D153E3"/>
    <w:rsid w:val="78D82CA8"/>
    <w:rsid w:val="78E28D3E"/>
    <w:rsid w:val="78E529EA"/>
    <w:rsid w:val="78F25042"/>
    <w:rsid w:val="7904124E"/>
    <w:rsid w:val="79116782"/>
    <w:rsid w:val="7921E943"/>
    <w:rsid w:val="7934F892"/>
    <w:rsid w:val="793F6C37"/>
    <w:rsid w:val="795C5551"/>
    <w:rsid w:val="796150DC"/>
    <w:rsid w:val="797F9E9A"/>
    <w:rsid w:val="79D1F0F7"/>
    <w:rsid w:val="79D97CF8"/>
    <w:rsid w:val="7A084D06"/>
    <w:rsid w:val="7A354363"/>
    <w:rsid w:val="7A42EE48"/>
    <w:rsid w:val="7A764B52"/>
    <w:rsid w:val="7AB54261"/>
    <w:rsid w:val="7ABEC79B"/>
    <w:rsid w:val="7AC0D0EC"/>
    <w:rsid w:val="7ADAEDD4"/>
    <w:rsid w:val="7ADF5FF7"/>
    <w:rsid w:val="7ADF7D5C"/>
    <w:rsid w:val="7AE147E1"/>
    <w:rsid w:val="7B1D6ED9"/>
    <w:rsid w:val="7B35BAB5"/>
    <w:rsid w:val="7B5A8C2B"/>
    <w:rsid w:val="7B7F8D2C"/>
    <w:rsid w:val="7B969B8D"/>
    <w:rsid w:val="7BAE94FA"/>
    <w:rsid w:val="7BCA7BC3"/>
    <w:rsid w:val="7BEE148C"/>
    <w:rsid w:val="7C0D53DF"/>
    <w:rsid w:val="7C23223D"/>
    <w:rsid w:val="7C72F610"/>
    <w:rsid w:val="7C848297"/>
    <w:rsid w:val="7CDB55BA"/>
    <w:rsid w:val="7CDCA7EB"/>
    <w:rsid w:val="7D1B599A"/>
    <w:rsid w:val="7D302D60"/>
    <w:rsid w:val="7D3C0F0E"/>
    <w:rsid w:val="7D500498"/>
    <w:rsid w:val="7D6F4431"/>
    <w:rsid w:val="7D9EBBB3"/>
    <w:rsid w:val="7DC31C66"/>
    <w:rsid w:val="7DE797BD"/>
    <w:rsid w:val="7E60A219"/>
    <w:rsid w:val="7E6CC3FF"/>
    <w:rsid w:val="7E88ADE8"/>
    <w:rsid w:val="7E907EC8"/>
    <w:rsid w:val="7E9DBD90"/>
    <w:rsid w:val="7EA020EE"/>
    <w:rsid w:val="7EBB1B72"/>
    <w:rsid w:val="7ED25A02"/>
    <w:rsid w:val="7EE42AA3"/>
    <w:rsid w:val="7F01D02E"/>
    <w:rsid w:val="7F3497C7"/>
    <w:rsid w:val="7F34C6FC"/>
    <w:rsid w:val="7F63C350"/>
    <w:rsid w:val="7F6AB66A"/>
    <w:rsid w:val="7F74B4AA"/>
    <w:rsid w:val="7F840357"/>
    <w:rsid w:val="7F9148F6"/>
    <w:rsid w:val="7F9891B2"/>
    <w:rsid w:val="7FA1DE65"/>
    <w:rsid w:val="7FA8D06A"/>
    <w:rsid w:val="7FB1E64C"/>
    <w:rsid w:val="7FC434D0"/>
    <w:rsid w:val="7FCE72C3"/>
    <w:rsid w:val="7FCEEAA9"/>
    <w:rsid w:val="7FE5C599"/>
    <w:rsid w:val="7FFDD9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768B4"/>
  <w15:chartTrackingRefBased/>
  <w15:docId w15:val="{D4DFAA6C-5255-4C99-BE58-9FF19265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23"/>
  </w:style>
  <w:style w:type="paragraph" w:styleId="Heading1">
    <w:name w:val="heading 1"/>
    <w:basedOn w:val="Normal"/>
    <w:next w:val="Normal"/>
    <w:link w:val="Heading1Char"/>
    <w:uiPriority w:val="9"/>
    <w:qFormat/>
    <w:rsid w:val="00623EC1"/>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623EC1"/>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623EC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3F3"/>
    <w:pPr>
      <w:ind w:left="720"/>
      <w:contextualSpacing/>
    </w:pPr>
  </w:style>
  <w:style w:type="character" w:styleId="CommentReference">
    <w:name w:val="annotation reference"/>
    <w:basedOn w:val="DefaultParagraphFont"/>
    <w:uiPriority w:val="99"/>
    <w:semiHidden/>
    <w:unhideWhenUsed/>
    <w:rsid w:val="006F23F3"/>
    <w:rPr>
      <w:sz w:val="16"/>
      <w:szCs w:val="16"/>
    </w:rPr>
  </w:style>
  <w:style w:type="paragraph" w:styleId="CommentText">
    <w:name w:val="annotation text"/>
    <w:basedOn w:val="Normal"/>
    <w:link w:val="CommentTextChar"/>
    <w:uiPriority w:val="99"/>
    <w:semiHidden/>
    <w:unhideWhenUsed/>
    <w:rsid w:val="006F23F3"/>
    <w:pPr>
      <w:spacing w:line="240" w:lineRule="auto"/>
    </w:pPr>
    <w:rPr>
      <w:sz w:val="20"/>
      <w:szCs w:val="20"/>
    </w:rPr>
  </w:style>
  <w:style w:type="character" w:customStyle="1" w:styleId="CommentTextChar">
    <w:name w:val="Comment Text Char"/>
    <w:basedOn w:val="DefaultParagraphFont"/>
    <w:link w:val="CommentText"/>
    <w:uiPriority w:val="99"/>
    <w:semiHidden/>
    <w:rsid w:val="006F23F3"/>
    <w:rPr>
      <w:sz w:val="20"/>
      <w:szCs w:val="20"/>
    </w:rPr>
  </w:style>
  <w:style w:type="paragraph" w:styleId="CommentSubject">
    <w:name w:val="annotation subject"/>
    <w:basedOn w:val="CommentText"/>
    <w:next w:val="CommentText"/>
    <w:link w:val="CommentSubjectChar"/>
    <w:uiPriority w:val="99"/>
    <w:semiHidden/>
    <w:unhideWhenUsed/>
    <w:rsid w:val="006F23F3"/>
    <w:rPr>
      <w:b/>
      <w:bCs/>
    </w:rPr>
  </w:style>
  <w:style w:type="character" w:customStyle="1" w:styleId="CommentSubjectChar">
    <w:name w:val="Comment Subject Char"/>
    <w:basedOn w:val="CommentTextChar"/>
    <w:link w:val="CommentSubject"/>
    <w:uiPriority w:val="99"/>
    <w:semiHidden/>
    <w:rsid w:val="006F23F3"/>
    <w:rPr>
      <w:b/>
      <w:bCs/>
      <w:sz w:val="20"/>
      <w:szCs w:val="20"/>
    </w:rPr>
  </w:style>
  <w:style w:type="character" w:customStyle="1" w:styleId="Heading1Char">
    <w:name w:val="Heading 1 Char"/>
    <w:basedOn w:val="DefaultParagraphFont"/>
    <w:link w:val="Heading1"/>
    <w:uiPriority w:val="9"/>
    <w:rsid w:val="00623EC1"/>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623EC1"/>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623EC1"/>
    <w:rPr>
      <w:rFonts w:ascii="Times New Roman" w:eastAsia="Times New Roman" w:hAnsi="Times New Roman" w:cs="Times New Roman"/>
      <w:b/>
      <w:bCs/>
      <w:sz w:val="27"/>
      <w:szCs w:val="27"/>
      <w:lang w:eastAsia="en-US"/>
    </w:rPr>
  </w:style>
  <w:style w:type="paragraph" w:styleId="NoSpacing">
    <w:name w:val="No Spacing"/>
    <w:uiPriority w:val="1"/>
    <w:qFormat/>
    <w:rsid w:val="00623EC1"/>
    <w:pPr>
      <w:spacing w:after="0" w:line="240" w:lineRule="auto"/>
    </w:pPr>
    <w:rPr>
      <w:rFonts w:eastAsiaTheme="minorHAnsi"/>
      <w:lang w:eastAsia="en-US"/>
    </w:rPr>
  </w:style>
  <w:style w:type="character" w:styleId="Hyperlink">
    <w:name w:val="Hyperlink"/>
    <w:basedOn w:val="DefaultParagraphFont"/>
    <w:uiPriority w:val="99"/>
    <w:unhideWhenUsed/>
    <w:rsid w:val="00623EC1"/>
    <w:rPr>
      <w:color w:val="0563C1"/>
      <w:u w:val="single"/>
    </w:rPr>
  </w:style>
  <w:style w:type="paragraph" w:styleId="Header">
    <w:name w:val="header"/>
    <w:basedOn w:val="Normal"/>
    <w:link w:val="HeaderChar"/>
    <w:uiPriority w:val="99"/>
    <w:unhideWhenUsed/>
    <w:rsid w:val="00623EC1"/>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23EC1"/>
    <w:rPr>
      <w:rFonts w:eastAsiaTheme="minorHAnsi"/>
      <w:lang w:eastAsia="en-US"/>
    </w:rPr>
  </w:style>
  <w:style w:type="paragraph" w:styleId="Footer">
    <w:name w:val="footer"/>
    <w:basedOn w:val="Normal"/>
    <w:link w:val="FooterChar"/>
    <w:uiPriority w:val="99"/>
    <w:unhideWhenUsed/>
    <w:rsid w:val="00623EC1"/>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23EC1"/>
    <w:rPr>
      <w:rFonts w:eastAsiaTheme="minorHAnsi"/>
      <w:lang w:eastAsia="en-US"/>
    </w:rPr>
  </w:style>
  <w:style w:type="character" w:styleId="UnresolvedMention">
    <w:name w:val="Unresolved Mention"/>
    <w:basedOn w:val="DefaultParagraphFont"/>
    <w:uiPriority w:val="99"/>
    <w:unhideWhenUsed/>
    <w:rsid w:val="00623EC1"/>
    <w:rPr>
      <w:color w:val="605E5C"/>
      <w:shd w:val="clear" w:color="auto" w:fill="E1DFDD"/>
    </w:rPr>
  </w:style>
  <w:style w:type="character" w:styleId="FollowedHyperlink">
    <w:name w:val="FollowedHyperlink"/>
    <w:basedOn w:val="DefaultParagraphFont"/>
    <w:uiPriority w:val="99"/>
    <w:semiHidden/>
    <w:unhideWhenUsed/>
    <w:rsid w:val="00623EC1"/>
    <w:rPr>
      <w:color w:val="954F72" w:themeColor="followedHyperlink"/>
      <w:u w:val="single"/>
    </w:rPr>
  </w:style>
  <w:style w:type="table" w:styleId="TableGrid">
    <w:name w:val="Table Grid"/>
    <w:basedOn w:val="TableNormal"/>
    <w:uiPriority w:val="59"/>
    <w:rsid w:val="00623EC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23EC1"/>
    <w:pPr>
      <w:spacing w:after="0" w:line="240" w:lineRule="auto"/>
    </w:pPr>
    <w:rPr>
      <w:rFonts w:eastAsiaTheme="minorHAnsi"/>
      <w:lang w:eastAsia="en-US"/>
    </w:rPr>
  </w:style>
  <w:style w:type="paragraph" w:customStyle="1" w:styleId="description">
    <w:name w:val="description"/>
    <w:basedOn w:val="Normal"/>
    <w:rsid w:val="00623EC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indicator-id">
    <w:name w:val="indicator-id"/>
    <w:basedOn w:val="Normal"/>
    <w:rsid w:val="00623EC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623EC1"/>
    <w:rPr>
      <w:i/>
      <w:iCs/>
    </w:rPr>
  </w:style>
  <w:style w:type="paragraph" w:styleId="NormalWeb">
    <w:name w:val="Normal (Web)"/>
    <w:basedOn w:val="Normal"/>
    <w:uiPriority w:val="99"/>
    <w:unhideWhenUsed/>
    <w:rsid w:val="00623EC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623EC1"/>
    <w:rPr>
      <w:b/>
      <w:bCs/>
    </w:rPr>
  </w:style>
  <w:style w:type="character" w:styleId="Mention">
    <w:name w:val="Mention"/>
    <w:basedOn w:val="DefaultParagraphFont"/>
    <w:uiPriority w:val="99"/>
    <w:unhideWhenUsed/>
    <w:rsid w:val="00623EC1"/>
    <w:rPr>
      <w:color w:val="2B579A"/>
      <w:shd w:val="clear" w:color="auto" w:fill="E1DFDD"/>
    </w:rPr>
  </w:style>
  <w:style w:type="character" w:customStyle="1" w:styleId="normaltextrun">
    <w:name w:val="normaltextrun"/>
    <w:basedOn w:val="DefaultParagraphFont"/>
    <w:rsid w:val="00623EC1"/>
  </w:style>
  <w:style w:type="character" w:customStyle="1" w:styleId="eop">
    <w:name w:val="eop"/>
    <w:basedOn w:val="DefaultParagraphFont"/>
    <w:rsid w:val="0062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7449">
      <w:bodyDiv w:val="1"/>
      <w:marLeft w:val="0"/>
      <w:marRight w:val="0"/>
      <w:marTop w:val="0"/>
      <w:marBottom w:val="0"/>
      <w:divBdr>
        <w:top w:val="none" w:sz="0" w:space="0" w:color="auto"/>
        <w:left w:val="none" w:sz="0" w:space="0" w:color="auto"/>
        <w:bottom w:val="none" w:sz="0" w:space="0" w:color="auto"/>
        <w:right w:val="none" w:sz="0" w:space="0" w:color="auto"/>
      </w:divBdr>
    </w:div>
    <w:div w:id="792283448">
      <w:bodyDiv w:val="1"/>
      <w:marLeft w:val="0"/>
      <w:marRight w:val="0"/>
      <w:marTop w:val="0"/>
      <w:marBottom w:val="0"/>
      <w:divBdr>
        <w:top w:val="none" w:sz="0" w:space="0" w:color="auto"/>
        <w:left w:val="none" w:sz="0" w:space="0" w:color="auto"/>
        <w:bottom w:val="none" w:sz="0" w:space="0" w:color="auto"/>
        <w:right w:val="none" w:sz="0" w:space="0" w:color="auto"/>
      </w:divBdr>
    </w:div>
    <w:div w:id="927038132">
      <w:bodyDiv w:val="1"/>
      <w:marLeft w:val="0"/>
      <w:marRight w:val="0"/>
      <w:marTop w:val="0"/>
      <w:marBottom w:val="0"/>
      <w:divBdr>
        <w:top w:val="none" w:sz="0" w:space="0" w:color="auto"/>
        <w:left w:val="none" w:sz="0" w:space="0" w:color="auto"/>
        <w:bottom w:val="none" w:sz="0" w:space="0" w:color="auto"/>
        <w:right w:val="none" w:sz="0" w:space="0" w:color="auto"/>
      </w:divBdr>
    </w:div>
    <w:div w:id="14515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mconsortium.org/reports/latest-global-report" TargetMode="External"/><Relationship Id="rId18" Type="http://schemas.openxmlformats.org/officeDocument/2006/relationships/hyperlink" Target="https://tcdata360.worldbank.org/indicators/gci?country=BRA&amp;indicator=631&amp;viz=line_chart&amp;years=2007,2017" TargetMode="External"/><Relationship Id="rId26" Type="http://schemas.openxmlformats.org/officeDocument/2006/relationships/hyperlink" Target="https://databank.worldbank.org/Domestic-credit-provided-by-financial-sector-(-of-GDP)/id/6bc936d9" TargetMode="External"/><Relationship Id="rId39" Type="http://schemas.openxmlformats.org/officeDocument/2006/relationships/hyperlink" Target="https://www.repository.cam.ac.uk/bitstream/handle/1810/256566/cbr-spi-30-countries-codebook-and-methodology.pdf?sequence=9&amp;isAllowed=y" TargetMode="External"/><Relationship Id="rId21" Type="http://schemas.openxmlformats.org/officeDocument/2006/relationships/hyperlink" Target="https://databank.worldbank.org/source/africa-infrastructure:-electricity" TargetMode="External"/><Relationship Id="rId34" Type="http://schemas.openxmlformats.org/officeDocument/2006/relationships/hyperlink" Target="https://tcdata360.worldbank.org/indicators/gci?country=BRA&amp;indicator=631&amp;viz=line_chart&amp;years=2007,2017" TargetMode="External"/><Relationship Id="rId42" Type="http://schemas.openxmlformats.org/officeDocument/2006/relationships/hyperlink" Target="https://www.fraserinstitute.org/studies/economic-freedom" TargetMode="External"/><Relationship Id="rId47" Type="http://schemas.openxmlformats.org/officeDocument/2006/relationships/hyperlink" Target="https://www.enterprisesurveys.org/en/data/exploretopics/regulations-and-taxes" TargetMode="External"/><Relationship Id="rId50" Type="http://schemas.openxmlformats.org/officeDocument/2006/relationships/hyperlink" Target="http://www3.weforum.org/docs/WEF_TTCR_2019.pdf" TargetMode="External"/><Relationship Id="rId55" Type="http://schemas.openxmlformats.org/officeDocument/2006/relationships/hyperlink" Target="https://www.gemconsortium.org/data/key-nes"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nterprisesurveys.org/en/data/exploretopics/regulations-and-taxes" TargetMode="External"/><Relationship Id="rId29" Type="http://schemas.openxmlformats.org/officeDocument/2006/relationships/hyperlink" Target="https://databank.worldbank.org/Real-interest-rate-()/id/996b479a" TargetMode="External"/><Relationship Id="rId11" Type="http://schemas.openxmlformats.org/officeDocument/2006/relationships/header" Target="header3.xml"/><Relationship Id="rId24" Type="http://schemas.openxmlformats.org/officeDocument/2006/relationships/hyperlink" Target="https://id4d.worldbank.org/global-dataset" TargetMode="External"/><Relationship Id="rId32" Type="http://schemas.openxmlformats.org/officeDocument/2006/relationships/hyperlink" Target="https://tcdata360.worldbank.org/indicators/gci?country=BRA&amp;indicator=631&amp;viz=line_chart&amp;years=2007,2017" TargetMode="External"/><Relationship Id="rId37" Type="http://schemas.openxmlformats.org/officeDocument/2006/relationships/hyperlink" Target="https://www.oecd.org/corporate/Corporate-Governance-Factbook.pdf" TargetMode="External"/><Relationship Id="rId40" Type="http://schemas.openxmlformats.org/officeDocument/2006/relationships/hyperlink" Target="http://www.eiu.com/landing/risk_analysis" TargetMode="External"/><Relationship Id="rId45" Type="http://schemas.openxmlformats.org/officeDocument/2006/relationships/hyperlink" Target="https://www.enterprisesurveys.org/en/data/exploretopics/regulations-and-taxes" TargetMode="External"/><Relationship Id="rId53" Type="http://schemas.openxmlformats.org/officeDocument/2006/relationships/hyperlink" Target="https://worldcompetitiveness.imd.org/customsearch" TargetMode="External"/><Relationship Id="rId58" Type="http://schemas.openxmlformats.org/officeDocument/2006/relationships/hyperlink" Target="https://www.oecd.org/economy/growth/OECD-Insolvency-indicators.xlsx" TargetMode="External"/><Relationship Id="rId5" Type="http://schemas.openxmlformats.org/officeDocument/2006/relationships/footnotes" Target="footnotes.xml"/><Relationship Id="rId61" Type="http://schemas.openxmlformats.org/officeDocument/2006/relationships/hyperlink" Target="https://www.eba.europa.eu/sites/default/documents/files/document_library/About%20Us/Missions%20and%20tasks/Call%20for%20Advice/2020/Report%20on%20the%20benchmarking%20of%20national%20loan%20enforcement%20frameworks/962022/Report%20on%20the%20benchmarking%20of%20national%20loan%20enforcement%20frameworks.pdf" TargetMode="External"/><Relationship Id="rId19" Type="http://schemas.openxmlformats.org/officeDocument/2006/relationships/hyperlink" Target="http://reports.weforum.org/pdf/gci-2017-2018-scorecard/WEF_GCI_2017_2018_Scorecard_EOSQ064.pdf" TargetMode="External"/><Relationship Id="rId14" Type="http://schemas.openxmlformats.org/officeDocument/2006/relationships/hyperlink" Target="https://www.enterprisesurveys.org/en/data/exploretopics/corruption" TargetMode="External"/><Relationship Id="rId22" Type="http://schemas.openxmlformats.org/officeDocument/2006/relationships/hyperlink" Target="https://databank.worldbank.org/source/africa-infrastructure:-electricity" TargetMode="External"/><Relationship Id="rId27" Type="http://schemas.openxmlformats.org/officeDocument/2006/relationships/hyperlink" Target="https://databank.worldbank.org/Domestic-credit-to-private-sector-(-of-GDP)/id/31139345" TargetMode="External"/><Relationship Id="rId30" Type="http://schemas.openxmlformats.org/officeDocument/2006/relationships/hyperlink" Target="https://tcdata360.worldbank.org/indicators/gci?country=BRA&amp;indicator=631&amp;viz=line_chart&amp;years=2007,2017" TargetMode="External"/><Relationship Id="rId35" Type="http://schemas.openxmlformats.org/officeDocument/2006/relationships/hyperlink" Target="http://reports.weforum.org/global-competitiveness-index-2017-2018/competitiveness-rankings/" TargetMode="External"/><Relationship Id="rId43" Type="http://schemas.openxmlformats.org/officeDocument/2006/relationships/hyperlink" Target="https://www.fraserinstitute.org/sites/default/files/economic-freedom-of-the-world-2019-appendix.pdf" TargetMode="External"/><Relationship Id="rId48" Type="http://schemas.openxmlformats.org/officeDocument/2006/relationships/hyperlink" Target="https://www.enterprisesurveys.org/en/data/exploretopics/regulations-and-taxes" TargetMode="External"/><Relationship Id="rId56" Type="http://schemas.openxmlformats.org/officeDocument/2006/relationships/hyperlink" Target="http://www.untfsurvey.org" TargetMode="External"/><Relationship Id="rId8" Type="http://schemas.openxmlformats.org/officeDocument/2006/relationships/header" Target="header2.xml"/><Relationship Id="rId51" Type="http://schemas.openxmlformats.org/officeDocument/2006/relationships/hyperlink" Target="https://tcdata360.worldbank.org/indicators/h7d169f4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appsso.eurostat.ec.europa.eu/nui/show.do?dataset=sts_cobp_q&amp;lang=en" TargetMode="External"/><Relationship Id="rId25" Type="http://schemas.openxmlformats.org/officeDocument/2006/relationships/hyperlink" Target="https://www.ebrd.com/cs/Satellite?c=Page&amp;cid=1395255781586&amp;pagename=EBRD%2FPage%2FArchive" TargetMode="External"/><Relationship Id="rId33" Type="http://schemas.openxmlformats.org/officeDocument/2006/relationships/hyperlink" Target="http://reports.weforum.org/global-competitiveness-index-2017-2018/competitiveness-rankings/" TargetMode="External"/><Relationship Id="rId38" Type="http://schemas.openxmlformats.org/officeDocument/2006/relationships/hyperlink" Target="https://www.ebrd.com/what-we-do/sectors/legal-reform/corporate-governance/sector-assessment.html" TargetMode="External"/><Relationship Id="rId46" Type="http://schemas.openxmlformats.org/officeDocument/2006/relationships/hyperlink" Target="https://www.enterprisesurveys.org/en/data/exploretopics/regulations-and-taxes" TargetMode="External"/><Relationship Id="rId59" Type="http://schemas.openxmlformats.org/officeDocument/2006/relationships/hyperlink" Target="https://www.oecd.org/economy/growth/OECD-Insolvency-indicators.xlsx" TargetMode="External"/><Relationship Id="rId20" Type="http://schemas.openxmlformats.org/officeDocument/2006/relationships/hyperlink" Target="http://www3.weforum.org/docs/WEF_TheGlobalCompetitivenessReport2019.pdf" TargetMode="External"/><Relationship Id="rId41" Type="http://schemas.openxmlformats.org/officeDocument/2006/relationships/hyperlink" Target="https://www.fraserinstitute.org/economic-freedom/approach" TargetMode="External"/><Relationship Id="rId54" Type="http://schemas.openxmlformats.org/officeDocument/2006/relationships/hyperlink" Target="https://www.oecd.org/tax/administration/tax-administration-23077727.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nterprisesurveys.org/en/data/exploretopics/corruption" TargetMode="External"/><Relationship Id="rId23" Type="http://schemas.openxmlformats.org/officeDocument/2006/relationships/hyperlink" Target="https://ec.europa.eu/eurostat/databrowser/view/ten00117/settings_1/table?lang=en" TargetMode="External"/><Relationship Id="rId28" Type="http://schemas.openxmlformats.org/officeDocument/2006/relationships/hyperlink" Target="https://databank.worldbank.org/Borrowers-from-commercial-banks-(per-1000-adults)/id/e1892514" TargetMode="External"/><Relationship Id="rId36" Type="http://schemas.openxmlformats.org/officeDocument/2006/relationships/hyperlink" Target="https://data.worldbank.org/indicator/CM.MKT.LDOM.NO" TargetMode="External"/><Relationship Id="rId49" Type="http://schemas.openxmlformats.org/officeDocument/2006/relationships/hyperlink" Target="http://www3.weforum.org/docs/WEF_TTCR_2019.pdf" TargetMode="External"/><Relationship Id="rId57" Type="http://schemas.openxmlformats.org/officeDocument/2006/relationships/hyperlink" Target="https://www.oecd.org/economy/growth/OECD-Insolvency-indicators.xlsx" TargetMode="External"/><Relationship Id="rId10" Type="http://schemas.openxmlformats.org/officeDocument/2006/relationships/footer" Target="footer2.xml"/><Relationship Id="rId31" Type="http://schemas.openxmlformats.org/officeDocument/2006/relationships/hyperlink" Target="http://reports.weforum.org/global-competitiveness-index-2017-2018/competitiveness-rankings/" TargetMode="External"/><Relationship Id="rId44" Type="http://schemas.openxmlformats.org/officeDocument/2006/relationships/hyperlink" Target="https://www.enterprisesurveys.org/en/data/exploretopics/regulations-and-taxes" TargetMode="External"/><Relationship Id="rId52" Type="http://schemas.openxmlformats.org/officeDocument/2006/relationships/hyperlink" Target="https://cthi.taxjustice.net/en/" TargetMode="External"/><Relationship Id="rId60" Type="http://schemas.openxmlformats.org/officeDocument/2006/relationships/hyperlink" Target="https://www.ebrd-restructuring.com/storage/uploads/documents/94228029cc1b26d88b75222c6a9d0df0.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10329</Words>
  <Characters>58881</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69072</CharactersWithSpaces>
  <SharedDoc>false</SharedDoc>
  <HLinks>
    <vt:vector size="294" baseType="variant">
      <vt:variant>
        <vt:i4>3539027</vt:i4>
      </vt:variant>
      <vt:variant>
        <vt:i4>144</vt:i4>
      </vt:variant>
      <vt:variant>
        <vt:i4>0</vt:i4>
      </vt:variant>
      <vt:variant>
        <vt:i4>5</vt:i4>
      </vt:variant>
      <vt:variant>
        <vt:lpwstr>https://www.eba.europa.eu/sites/default/documents/files/document_library/About Us/Missions and tasks/Call for Advice/2020/Report on the benchmarking of national loan enforcement frameworks/962022/Report on the benchmarking of national loan enforcement frameworks.pdf</vt:lpwstr>
      </vt:variant>
      <vt:variant>
        <vt:lpwstr/>
      </vt:variant>
      <vt:variant>
        <vt:i4>5636097</vt:i4>
      </vt:variant>
      <vt:variant>
        <vt:i4>141</vt:i4>
      </vt:variant>
      <vt:variant>
        <vt:i4>0</vt:i4>
      </vt:variant>
      <vt:variant>
        <vt:i4>5</vt:i4>
      </vt:variant>
      <vt:variant>
        <vt:lpwstr>https://www.ebrd-restructuring.com/storage/uploads/documents/94228029cc1b26d88b75222c6a9d0df0.pdf</vt:lpwstr>
      </vt:variant>
      <vt:variant>
        <vt:lpwstr/>
      </vt:variant>
      <vt:variant>
        <vt:i4>2293878</vt:i4>
      </vt:variant>
      <vt:variant>
        <vt:i4>138</vt:i4>
      </vt:variant>
      <vt:variant>
        <vt:i4>0</vt:i4>
      </vt:variant>
      <vt:variant>
        <vt:i4>5</vt:i4>
      </vt:variant>
      <vt:variant>
        <vt:lpwstr>https://www.oecd.org/economy/growth/OECD-Insolvency-indicators.xlsx</vt:lpwstr>
      </vt:variant>
      <vt:variant>
        <vt:lpwstr/>
      </vt:variant>
      <vt:variant>
        <vt:i4>2293878</vt:i4>
      </vt:variant>
      <vt:variant>
        <vt:i4>135</vt:i4>
      </vt:variant>
      <vt:variant>
        <vt:i4>0</vt:i4>
      </vt:variant>
      <vt:variant>
        <vt:i4>5</vt:i4>
      </vt:variant>
      <vt:variant>
        <vt:lpwstr>https://www.oecd.org/economy/growth/OECD-Insolvency-indicators.xlsx</vt:lpwstr>
      </vt:variant>
      <vt:variant>
        <vt:lpwstr/>
      </vt:variant>
      <vt:variant>
        <vt:i4>2293878</vt:i4>
      </vt:variant>
      <vt:variant>
        <vt:i4>132</vt:i4>
      </vt:variant>
      <vt:variant>
        <vt:i4>0</vt:i4>
      </vt:variant>
      <vt:variant>
        <vt:i4>5</vt:i4>
      </vt:variant>
      <vt:variant>
        <vt:lpwstr>https://www.oecd.org/economy/growth/OECD-Insolvency-indicators.xlsx</vt:lpwstr>
      </vt:variant>
      <vt:variant>
        <vt:lpwstr/>
      </vt:variant>
      <vt:variant>
        <vt:i4>3997738</vt:i4>
      </vt:variant>
      <vt:variant>
        <vt:i4>129</vt:i4>
      </vt:variant>
      <vt:variant>
        <vt:i4>0</vt:i4>
      </vt:variant>
      <vt:variant>
        <vt:i4>5</vt:i4>
      </vt:variant>
      <vt:variant>
        <vt:lpwstr>http://www.untfsurvey.org/</vt:lpwstr>
      </vt:variant>
      <vt:variant>
        <vt:lpwstr/>
      </vt:variant>
      <vt:variant>
        <vt:i4>3276858</vt:i4>
      </vt:variant>
      <vt:variant>
        <vt:i4>126</vt:i4>
      </vt:variant>
      <vt:variant>
        <vt:i4>0</vt:i4>
      </vt:variant>
      <vt:variant>
        <vt:i4>5</vt:i4>
      </vt:variant>
      <vt:variant>
        <vt:lpwstr>https://www.gemconsortium.org/data/key-nes</vt:lpwstr>
      </vt:variant>
      <vt:variant>
        <vt:lpwstr/>
      </vt:variant>
      <vt:variant>
        <vt:i4>8192050</vt:i4>
      </vt:variant>
      <vt:variant>
        <vt:i4>123</vt:i4>
      </vt:variant>
      <vt:variant>
        <vt:i4>0</vt:i4>
      </vt:variant>
      <vt:variant>
        <vt:i4>5</vt:i4>
      </vt:variant>
      <vt:variant>
        <vt:lpwstr>https://www.oecd.org/tax/administration/tax-administration-23077727.htm</vt:lpwstr>
      </vt:variant>
      <vt:variant>
        <vt:lpwstr/>
      </vt:variant>
      <vt:variant>
        <vt:i4>65566</vt:i4>
      </vt:variant>
      <vt:variant>
        <vt:i4>120</vt:i4>
      </vt:variant>
      <vt:variant>
        <vt:i4>0</vt:i4>
      </vt:variant>
      <vt:variant>
        <vt:i4>5</vt:i4>
      </vt:variant>
      <vt:variant>
        <vt:lpwstr>https://worldcompetitiveness.imd.org/customsearch</vt:lpwstr>
      </vt:variant>
      <vt:variant>
        <vt:lpwstr/>
      </vt:variant>
      <vt:variant>
        <vt:i4>6815854</vt:i4>
      </vt:variant>
      <vt:variant>
        <vt:i4>117</vt:i4>
      </vt:variant>
      <vt:variant>
        <vt:i4>0</vt:i4>
      </vt:variant>
      <vt:variant>
        <vt:i4>5</vt:i4>
      </vt:variant>
      <vt:variant>
        <vt:lpwstr>https://cthi.taxjustice.net/en/</vt:lpwstr>
      </vt:variant>
      <vt:variant>
        <vt:lpwstr/>
      </vt:variant>
      <vt:variant>
        <vt:i4>5636104</vt:i4>
      </vt:variant>
      <vt:variant>
        <vt:i4>114</vt:i4>
      </vt:variant>
      <vt:variant>
        <vt:i4>0</vt:i4>
      </vt:variant>
      <vt:variant>
        <vt:i4>5</vt:i4>
      </vt:variant>
      <vt:variant>
        <vt:lpwstr>https://tcdata360.worldbank.org/indicators/h7d169f4f</vt:lpwstr>
      </vt:variant>
      <vt:variant>
        <vt:lpwstr/>
      </vt:variant>
      <vt:variant>
        <vt:i4>5439510</vt:i4>
      </vt:variant>
      <vt:variant>
        <vt:i4>111</vt:i4>
      </vt:variant>
      <vt:variant>
        <vt:i4>0</vt:i4>
      </vt:variant>
      <vt:variant>
        <vt:i4>5</vt:i4>
      </vt:variant>
      <vt:variant>
        <vt:lpwstr>http://www3.weforum.org/docs/WEF_TTCR_2019.pdf</vt:lpwstr>
      </vt:variant>
      <vt:variant>
        <vt:lpwstr/>
      </vt:variant>
      <vt:variant>
        <vt:i4>5439510</vt:i4>
      </vt:variant>
      <vt:variant>
        <vt:i4>108</vt:i4>
      </vt:variant>
      <vt:variant>
        <vt:i4>0</vt:i4>
      </vt:variant>
      <vt:variant>
        <vt:i4>5</vt:i4>
      </vt:variant>
      <vt:variant>
        <vt:lpwstr>http://www3.weforum.org/docs/WEF_TTCR_2019.pdf</vt:lpwstr>
      </vt:variant>
      <vt:variant>
        <vt:lpwstr/>
      </vt:variant>
      <vt:variant>
        <vt:i4>5570565</vt:i4>
      </vt:variant>
      <vt:variant>
        <vt:i4>105</vt:i4>
      </vt:variant>
      <vt:variant>
        <vt:i4>0</vt:i4>
      </vt:variant>
      <vt:variant>
        <vt:i4>5</vt:i4>
      </vt:variant>
      <vt:variant>
        <vt:lpwstr>https://www.enterprisesurveys.org/en/data/exploretopics/regulations-and-taxes</vt:lpwstr>
      </vt:variant>
      <vt:variant>
        <vt:lpwstr/>
      </vt:variant>
      <vt:variant>
        <vt:i4>5570565</vt:i4>
      </vt:variant>
      <vt:variant>
        <vt:i4>102</vt:i4>
      </vt:variant>
      <vt:variant>
        <vt:i4>0</vt:i4>
      </vt:variant>
      <vt:variant>
        <vt:i4>5</vt:i4>
      </vt:variant>
      <vt:variant>
        <vt:lpwstr>https://www.enterprisesurveys.org/en/data/exploretopics/regulations-and-taxes</vt:lpwstr>
      </vt:variant>
      <vt:variant>
        <vt:lpwstr/>
      </vt:variant>
      <vt:variant>
        <vt:i4>5570565</vt:i4>
      </vt:variant>
      <vt:variant>
        <vt:i4>99</vt:i4>
      </vt:variant>
      <vt:variant>
        <vt:i4>0</vt:i4>
      </vt:variant>
      <vt:variant>
        <vt:i4>5</vt:i4>
      </vt:variant>
      <vt:variant>
        <vt:lpwstr>https://www.enterprisesurveys.org/en/data/exploretopics/regulations-and-taxes</vt:lpwstr>
      </vt:variant>
      <vt:variant>
        <vt:lpwstr/>
      </vt:variant>
      <vt:variant>
        <vt:i4>5570565</vt:i4>
      </vt:variant>
      <vt:variant>
        <vt:i4>96</vt:i4>
      </vt:variant>
      <vt:variant>
        <vt:i4>0</vt:i4>
      </vt:variant>
      <vt:variant>
        <vt:i4>5</vt:i4>
      </vt:variant>
      <vt:variant>
        <vt:lpwstr>https://www.enterprisesurveys.org/en/data/exploretopics/regulations-and-taxes</vt:lpwstr>
      </vt:variant>
      <vt:variant>
        <vt:lpwstr/>
      </vt:variant>
      <vt:variant>
        <vt:i4>5570565</vt:i4>
      </vt:variant>
      <vt:variant>
        <vt:i4>93</vt:i4>
      </vt:variant>
      <vt:variant>
        <vt:i4>0</vt:i4>
      </vt:variant>
      <vt:variant>
        <vt:i4>5</vt:i4>
      </vt:variant>
      <vt:variant>
        <vt:lpwstr>https://www.enterprisesurveys.org/en/data/exploretopics/regulations-and-taxes</vt:lpwstr>
      </vt:variant>
      <vt:variant>
        <vt:lpwstr/>
      </vt:variant>
      <vt:variant>
        <vt:i4>6291570</vt:i4>
      </vt:variant>
      <vt:variant>
        <vt:i4>90</vt:i4>
      </vt:variant>
      <vt:variant>
        <vt:i4>0</vt:i4>
      </vt:variant>
      <vt:variant>
        <vt:i4>5</vt:i4>
      </vt:variant>
      <vt:variant>
        <vt:lpwstr>https://www.fraserinstitute.org/sites/default/files/economic-freedom-of-the-world-2019-appendix.pdf</vt:lpwstr>
      </vt:variant>
      <vt:variant>
        <vt:lpwstr/>
      </vt:variant>
      <vt:variant>
        <vt:i4>65548</vt:i4>
      </vt:variant>
      <vt:variant>
        <vt:i4>87</vt:i4>
      </vt:variant>
      <vt:variant>
        <vt:i4>0</vt:i4>
      </vt:variant>
      <vt:variant>
        <vt:i4>5</vt:i4>
      </vt:variant>
      <vt:variant>
        <vt:lpwstr>https://www.fraserinstitute.org/studies/economic-freedom</vt:lpwstr>
      </vt:variant>
      <vt:variant>
        <vt:lpwstr/>
      </vt:variant>
      <vt:variant>
        <vt:i4>4587612</vt:i4>
      </vt:variant>
      <vt:variant>
        <vt:i4>84</vt:i4>
      </vt:variant>
      <vt:variant>
        <vt:i4>0</vt:i4>
      </vt:variant>
      <vt:variant>
        <vt:i4>5</vt:i4>
      </vt:variant>
      <vt:variant>
        <vt:lpwstr>https://www.fraserinstitute.org/economic-freedom/approach</vt:lpwstr>
      </vt:variant>
      <vt:variant>
        <vt:lpwstr/>
      </vt:variant>
      <vt:variant>
        <vt:i4>6619137</vt:i4>
      </vt:variant>
      <vt:variant>
        <vt:i4>81</vt:i4>
      </vt:variant>
      <vt:variant>
        <vt:i4>0</vt:i4>
      </vt:variant>
      <vt:variant>
        <vt:i4>5</vt:i4>
      </vt:variant>
      <vt:variant>
        <vt:lpwstr>http://www.eiu.com/landing/risk_analysis</vt:lpwstr>
      </vt:variant>
      <vt:variant>
        <vt:lpwstr/>
      </vt:variant>
      <vt:variant>
        <vt:i4>2621499</vt:i4>
      </vt:variant>
      <vt:variant>
        <vt:i4>78</vt:i4>
      </vt:variant>
      <vt:variant>
        <vt:i4>0</vt:i4>
      </vt:variant>
      <vt:variant>
        <vt:i4>5</vt:i4>
      </vt:variant>
      <vt:variant>
        <vt:lpwstr>https://www.repository.cam.ac.uk/bitstream/handle/1810/256566/cbr-spi-30-countries-codebook-and-methodology.pdf?sequence=9&amp;isAllowed=y</vt:lpwstr>
      </vt:variant>
      <vt:variant>
        <vt:lpwstr/>
      </vt:variant>
      <vt:variant>
        <vt:i4>5505098</vt:i4>
      </vt:variant>
      <vt:variant>
        <vt:i4>75</vt:i4>
      </vt:variant>
      <vt:variant>
        <vt:i4>0</vt:i4>
      </vt:variant>
      <vt:variant>
        <vt:i4>5</vt:i4>
      </vt:variant>
      <vt:variant>
        <vt:lpwstr>https://www.ebrd.com/what-we-do/sectors/legal-reform/corporate-governance/sector-assessment.html</vt:lpwstr>
      </vt:variant>
      <vt:variant>
        <vt:lpwstr/>
      </vt:variant>
      <vt:variant>
        <vt:i4>655376</vt:i4>
      </vt:variant>
      <vt:variant>
        <vt:i4>72</vt:i4>
      </vt:variant>
      <vt:variant>
        <vt:i4>0</vt:i4>
      </vt:variant>
      <vt:variant>
        <vt:i4>5</vt:i4>
      </vt:variant>
      <vt:variant>
        <vt:lpwstr>https://www.oecd.org/corporate/Corporate-Governance-Factbook.pdf</vt:lpwstr>
      </vt:variant>
      <vt:variant>
        <vt:lpwstr/>
      </vt:variant>
      <vt:variant>
        <vt:i4>7667837</vt:i4>
      </vt:variant>
      <vt:variant>
        <vt:i4>69</vt:i4>
      </vt:variant>
      <vt:variant>
        <vt:i4>0</vt:i4>
      </vt:variant>
      <vt:variant>
        <vt:i4>5</vt:i4>
      </vt:variant>
      <vt:variant>
        <vt:lpwstr>https://data.worldbank.org/indicator/CM.MKT.LDOM.NO</vt:lpwstr>
      </vt:variant>
      <vt:variant>
        <vt:lpwstr/>
      </vt:variant>
      <vt:variant>
        <vt:i4>2031619</vt:i4>
      </vt:variant>
      <vt:variant>
        <vt:i4>66</vt:i4>
      </vt:variant>
      <vt:variant>
        <vt:i4>0</vt:i4>
      </vt:variant>
      <vt:variant>
        <vt:i4>5</vt:i4>
      </vt:variant>
      <vt:variant>
        <vt:lpwstr>http://reports.weforum.org/global-competitiveness-index-2017-2018/competitiveness-rankings/</vt:lpwstr>
      </vt:variant>
      <vt:variant>
        <vt:lpwstr>series=EOSQ127</vt:lpwstr>
      </vt:variant>
      <vt:variant>
        <vt:i4>5636159</vt:i4>
      </vt:variant>
      <vt:variant>
        <vt:i4>63</vt:i4>
      </vt:variant>
      <vt:variant>
        <vt:i4>0</vt:i4>
      </vt:variant>
      <vt:variant>
        <vt:i4>5</vt:i4>
      </vt:variant>
      <vt:variant>
        <vt:lpwstr>https://tcdata360.worldbank.org/indicators/gci?country=BRA&amp;indicator=631&amp;viz=line_chart&amp;years=2007,2017</vt:lpwstr>
      </vt:variant>
      <vt:variant>
        <vt:lpwstr/>
      </vt:variant>
      <vt:variant>
        <vt:i4>1114120</vt:i4>
      </vt:variant>
      <vt:variant>
        <vt:i4>60</vt:i4>
      </vt:variant>
      <vt:variant>
        <vt:i4>0</vt:i4>
      </vt:variant>
      <vt:variant>
        <vt:i4>5</vt:i4>
      </vt:variant>
      <vt:variant>
        <vt:lpwstr>http://reports.weforum.org/global-competitiveness-index-2017-2018/competitiveness-rankings/</vt:lpwstr>
      </vt:variant>
      <vt:variant>
        <vt:lpwstr>series=EOSQ098</vt:lpwstr>
      </vt:variant>
      <vt:variant>
        <vt:i4>5636159</vt:i4>
      </vt:variant>
      <vt:variant>
        <vt:i4>57</vt:i4>
      </vt:variant>
      <vt:variant>
        <vt:i4>0</vt:i4>
      </vt:variant>
      <vt:variant>
        <vt:i4>5</vt:i4>
      </vt:variant>
      <vt:variant>
        <vt:lpwstr>https://tcdata360.worldbank.org/indicators/gci?country=BRA&amp;indicator=631&amp;viz=line_chart&amp;years=2007,2017</vt:lpwstr>
      </vt:variant>
      <vt:variant>
        <vt:lpwstr/>
      </vt:variant>
      <vt:variant>
        <vt:i4>1966088</vt:i4>
      </vt:variant>
      <vt:variant>
        <vt:i4>54</vt:i4>
      </vt:variant>
      <vt:variant>
        <vt:i4>0</vt:i4>
      </vt:variant>
      <vt:variant>
        <vt:i4>5</vt:i4>
      </vt:variant>
      <vt:variant>
        <vt:lpwstr>http://reports.weforum.org/global-competitiveness-index-2017-2018/competitiveness-rankings/</vt:lpwstr>
      </vt:variant>
      <vt:variant>
        <vt:lpwstr>series=EOSQ097</vt:lpwstr>
      </vt:variant>
      <vt:variant>
        <vt:i4>5636159</vt:i4>
      </vt:variant>
      <vt:variant>
        <vt:i4>51</vt:i4>
      </vt:variant>
      <vt:variant>
        <vt:i4>0</vt:i4>
      </vt:variant>
      <vt:variant>
        <vt:i4>5</vt:i4>
      </vt:variant>
      <vt:variant>
        <vt:lpwstr>https://tcdata360.worldbank.org/indicators/gci?country=BRA&amp;indicator=631&amp;viz=line_chart&amp;years=2007,2017</vt:lpwstr>
      </vt:variant>
      <vt:variant>
        <vt:lpwstr/>
      </vt:variant>
      <vt:variant>
        <vt:i4>1376339</vt:i4>
      </vt:variant>
      <vt:variant>
        <vt:i4>48</vt:i4>
      </vt:variant>
      <vt:variant>
        <vt:i4>0</vt:i4>
      </vt:variant>
      <vt:variant>
        <vt:i4>5</vt:i4>
      </vt:variant>
      <vt:variant>
        <vt:lpwstr>https://databank.worldbank.org/Real-interest-rate-()/id/996b479a</vt:lpwstr>
      </vt:variant>
      <vt:variant>
        <vt:lpwstr/>
      </vt:variant>
      <vt:variant>
        <vt:i4>5832711</vt:i4>
      </vt:variant>
      <vt:variant>
        <vt:i4>45</vt:i4>
      </vt:variant>
      <vt:variant>
        <vt:i4>0</vt:i4>
      </vt:variant>
      <vt:variant>
        <vt:i4>5</vt:i4>
      </vt:variant>
      <vt:variant>
        <vt:lpwstr>https://databank.worldbank.org/Borrowers-from-commercial-banks-(per-1000-adults)/id/e1892514</vt:lpwstr>
      </vt:variant>
      <vt:variant>
        <vt:lpwstr/>
      </vt:variant>
      <vt:variant>
        <vt:i4>2490473</vt:i4>
      </vt:variant>
      <vt:variant>
        <vt:i4>42</vt:i4>
      </vt:variant>
      <vt:variant>
        <vt:i4>0</vt:i4>
      </vt:variant>
      <vt:variant>
        <vt:i4>5</vt:i4>
      </vt:variant>
      <vt:variant>
        <vt:lpwstr>https://databank.worldbank.org/Domestic-credit-to-private-sector-(-of-GDP)/id/31139345</vt:lpwstr>
      </vt:variant>
      <vt:variant>
        <vt:lpwstr/>
      </vt:variant>
      <vt:variant>
        <vt:i4>4653138</vt:i4>
      </vt:variant>
      <vt:variant>
        <vt:i4>39</vt:i4>
      </vt:variant>
      <vt:variant>
        <vt:i4>0</vt:i4>
      </vt:variant>
      <vt:variant>
        <vt:i4>5</vt:i4>
      </vt:variant>
      <vt:variant>
        <vt:lpwstr>https://databank.worldbank.org/Domestic-credit-provided-by-financial-sector-(-of-GDP)/id/6bc936d9</vt:lpwstr>
      </vt:variant>
      <vt:variant>
        <vt:lpwstr/>
      </vt:variant>
      <vt:variant>
        <vt:i4>9</vt:i4>
      </vt:variant>
      <vt:variant>
        <vt:i4>36</vt:i4>
      </vt:variant>
      <vt:variant>
        <vt:i4>0</vt:i4>
      </vt:variant>
      <vt:variant>
        <vt:i4>5</vt:i4>
      </vt:variant>
      <vt:variant>
        <vt:lpwstr>https://www.ebrd.com/cs/Satellite?c=Page&amp;cid=1395255781586&amp;pagename=EBRD%2FPage%2FArchive</vt:lpwstr>
      </vt:variant>
      <vt:variant>
        <vt:lpwstr/>
      </vt:variant>
      <vt:variant>
        <vt:i4>5439566</vt:i4>
      </vt:variant>
      <vt:variant>
        <vt:i4>33</vt:i4>
      </vt:variant>
      <vt:variant>
        <vt:i4>0</vt:i4>
      </vt:variant>
      <vt:variant>
        <vt:i4>5</vt:i4>
      </vt:variant>
      <vt:variant>
        <vt:lpwstr>https://id4d.worldbank.org/global-dataset</vt:lpwstr>
      </vt:variant>
      <vt:variant>
        <vt:lpwstr/>
      </vt:variant>
      <vt:variant>
        <vt:i4>1966203</vt:i4>
      </vt:variant>
      <vt:variant>
        <vt:i4>30</vt:i4>
      </vt:variant>
      <vt:variant>
        <vt:i4>0</vt:i4>
      </vt:variant>
      <vt:variant>
        <vt:i4>5</vt:i4>
      </vt:variant>
      <vt:variant>
        <vt:lpwstr>https://ec.europa.eu/eurostat/databrowser/view/ten00117/settings_1/table?lang=en</vt:lpwstr>
      </vt:variant>
      <vt:variant>
        <vt:lpwstr/>
      </vt:variant>
      <vt:variant>
        <vt:i4>131074</vt:i4>
      </vt:variant>
      <vt:variant>
        <vt:i4>27</vt:i4>
      </vt:variant>
      <vt:variant>
        <vt:i4>0</vt:i4>
      </vt:variant>
      <vt:variant>
        <vt:i4>5</vt:i4>
      </vt:variant>
      <vt:variant>
        <vt:lpwstr>https://databank.worldbank.org/source/africa-infrastructure:-electricity</vt:lpwstr>
      </vt:variant>
      <vt:variant>
        <vt:lpwstr/>
      </vt:variant>
      <vt:variant>
        <vt:i4>131074</vt:i4>
      </vt:variant>
      <vt:variant>
        <vt:i4>24</vt:i4>
      </vt:variant>
      <vt:variant>
        <vt:i4>0</vt:i4>
      </vt:variant>
      <vt:variant>
        <vt:i4>5</vt:i4>
      </vt:variant>
      <vt:variant>
        <vt:lpwstr>https://databank.worldbank.org/source/africa-infrastructure:-electricity</vt:lpwstr>
      </vt:variant>
      <vt:variant>
        <vt:lpwstr/>
      </vt:variant>
      <vt:variant>
        <vt:i4>3801159</vt:i4>
      </vt:variant>
      <vt:variant>
        <vt:i4>21</vt:i4>
      </vt:variant>
      <vt:variant>
        <vt:i4>0</vt:i4>
      </vt:variant>
      <vt:variant>
        <vt:i4>5</vt:i4>
      </vt:variant>
      <vt:variant>
        <vt:lpwstr>http://www3.weforum.org/docs/WEF_TheGlobalCompetitivenessReport2019.pdf</vt:lpwstr>
      </vt:variant>
      <vt:variant>
        <vt:lpwstr/>
      </vt:variant>
      <vt:variant>
        <vt:i4>6225974</vt:i4>
      </vt:variant>
      <vt:variant>
        <vt:i4>18</vt:i4>
      </vt:variant>
      <vt:variant>
        <vt:i4>0</vt:i4>
      </vt:variant>
      <vt:variant>
        <vt:i4>5</vt:i4>
      </vt:variant>
      <vt:variant>
        <vt:lpwstr>http://reports.weforum.org/pdf/gci-2017-2018-scorecard/WEF_GCI_2017_2018_Scorecard_EOSQ064.pdf</vt:lpwstr>
      </vt:variant>
      <vt:variant>
        <vt:lpwstr/>
      </vt:variant>
      <vt:variant>
        <vt:i4>5636159</vt:i4>
      </vt:variant>
      <vt:variant>
        <vt:i4>15</vt:i4>
      </vt:variant>
      <vt:variant>
        <vt:i4>0</vt:i4>
      </vt:variant>
      <vt:variant>
        <vt:i4>5</vt:i4>
      </vt:variant>
      <vt:variant>
        <vt:lpwstr>https://tcdata360.worldbank.org/indicators/gci?country=BRA&amp;indicator=631&amp;viz=line_chart&amp;years=2007,2017</vt:lpwstr>
      </vt:variant>
      <vt:variant>
        <vt:lpwstr/>
      </vt:variant>
      <vt:variant>
        <vt:i4>6226000</vt:i4>
      </vt:variant>
      <vt:variant>
        <vt:i4>12</vt:i4>
      </vt:variant>
      <vt:variant>
        <vt:i4>0</vt:i4>
      </vt:variant>
      <vt:variant>
        <vt:i4>5</vt:i4>
      </vt:variant>
      <vt:variant>
        <vt:lpwstr>https://appsso.eurostat.ec.europa.eu/nui/show.do?dataset=sts_cobp_q&amp;lang=en</vt:lpwstr>
      </vt:variant>
      <vt:variant>
        <vt:lpwstr/>
      </vt:variant>
      <vt:variant>
        <vt:i4>5570565</vt:i4>
      </vt:variant>
      <vt:variant>
        <vt:i4>9</vt:i4>
      </vt:variant>
      <vt:variant>
        <vt:i4>0</vt:i4>
      </vt:variant>
      <vt:variant>
        <vt:i4>5</vt:i4>
      </vt:variant>
      <vt:variant>
        <vt:lpwstr>https://www.enterprisesurveys.org/en/data/exploretopics/regulations-and-taxes</vt:lpwstr>
      </vt:variant>
      <vt:variant>
        <vt:lpwstr/>
      </vt:variant>
      <vt:variant>
        <vt:i4>2293858</vt:i4>
      </vt:variant>
      <vt:variant>
        <vt:i4>6</vt:i4>
      </vt:variant>
      <vt:variant>
        <vt:i4>0</vt:i4>
      </vt:variant>
      <vt:variant>
        <vt:i4>5</vt:i4>
      </vt:variant>
      <vt:variant>
        <vt:lpwstr>https://www.enterprisesurveys.org/en/data/exploretopics/corruption</vt:lpwstr>
      </vt:variant>
      <vt:variant>
        <vt:lpwstr/>
      </vt:variant>
      <vt:variant>
        <vt:i4>2293858</vt:i4>
      </vt:variant>
      <vt:variant>
        <vt:i4>3</vt:i4>
      </vt:variant>
      <vt:variant>
        <vt:i4>0</vt:i4>
      </vt:variant>
      <vt:variant>
        <vt:i4>5</vt:i4>
      </vt:variant>
      <vt:variant>
        <vt:lpwstr>https://www.enterprisesurveys.org/en/data/exploretopics/corruption</vt:lpwstr>
      </vt:variant>
      <vt:variant>
        <vt:lpwstr/>
      </vt:variant>
      <vt:variant>
        <vt:i4>2490495</vt:i4>
      </vt:variant>
      <vt:variant>
        <vt:i4>0</vt:i4>
      </vt:variant>
      <vt:variant>
        <vt:i4>0</vt:i4>
      </vt:variant>
      <vt:variant>
        <vt:i4>5</vt:i4>
      </vt:variant>
      <vt:variant>
        <vt:lpwstr>https://www.gemconsortium.org/reports/latest-global-report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Jiang</dc:creator>
  <cp:keywords/>
  <dc:description/>
  <cp:lastModifiedBy>Sarah</cp:lastModifiedBy>
  <cp:revision>2</cp:revision>
  <dcterms:created xsi:type="dcterms:W3CDTF">2022-01-18T17:56:00Z</dcterms:created>
  <dcterms:modified xsi:type="dcterms:W3CDTF">2022-01-18T17:56:00Z</dcterms:modified>
</cp:coreProperties>
</file>