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87" w:rsidRDefault="0072149F" w:rsidP="0091582C">
      <w:pPr>
        <w:shd w:val="clear" w:color="auto" w:fill="FFFFFF" w:themeFill="background1"/>
        <w:spacing w:after="0" w:line="259" w:lineRule="auto"/>
        <w:ind w:left="0" w:right="4465" w:firstLine="0"/>
        <w:jc w:val="center"/>
      </w:pPr>
      <w:r>
        <w:rPr>
          <w:noProof/>
        </w:rPr>
        <w:drawing>
          <wp:inline distT="0" distB="0" distL="0" distR="0">
            <wp:extent cx="3068950" cy="602614"/>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6" cstate="print"/>
                    <a:stretch>
                      <a:fillRect/>
                    </a:stretch>
                  </pic:blipFill>
                  <pic:spPr>
                    <a:xfrm>
                      <a:off x="0" y="0"/>
                      <a:ext cx="3068950" cy="602614"/>
                    </a:xfrm>
                    <a:prstGeom prst="rect">
                      <a:avLst/>
                    </a:prstGeom>
                  </pic:spPr>
                </pic:pic>
              </a:graphicData>
            </a:graphic>
          </wp:inline>
        </w:drawing>
      </w:r>
      <w:r>
        <w:t xml:space="preserve"> </w:t>
      </w:r>
    </w:p>
    <w:p w:rsidR="00CD1587" w:rsidRDefault="00CD1587" w:rsidP="0091582C">
      <w:pPr>
        <w:shd w:val="clear" w:color="auto" w:fill="FFFFFF" w:themeFill="background1"/>
        <w:spacing w:after="0" w:line="259" w:lineRule="auto"/>
        <w:ind w:left="2" w:firstLine="0"/>
      </w:pPr>
    </w:p>
    <w:p w:rsidR="00AC2C70" w:rsidRDefault="00AC2C70" w:rsidP="00AC2C70">
      <w:pPr>
        <w:shd w:val="clear" w:color="auto" w:fill="FFFFFF" w:themeFill="background1"/>
        <w:spacing w:after="0" w:line="259" w:lineRule="auto"/>
        <w:ind w:left="0" w:right="4465" w:firstLine="0"/>
        <w:jc w:val="center"/>
      </w:pPr>
    </w:p>
    <w:p w:rsidR="00AC2C70" w:rsidRPr="00AC2C70" w:rsidRDefault="00AC2C70" w:rsidP="00AC2C70">
      <w:pPr>
        <w:shd w:val="clear" w:color="auto" w:fill="FFFFFF" w:themeFill="background1"/>
        <w:tabs>
          <w:tab w:val="left" w:pos="5400"/>
          <w:tab w:val="left" w:pos="9360"/>
        </w:tabs>
        <w:spacing w:after="0" w:line="259" w:lineRule="auto"/>
        <w:ind w:left="0" w:right="-1" w:firstLine="0"/>
        <w:rPr>
          <w:b/>
          <w:sz w:val="28"/>
        </w:rPr>
      </w:pPr>
      <w:bookmarkStart w:id="0" w:name="_GoBack"/>
      <w:r w:rsidRPr="00AC2C70">
        <w:rPr>
          <w:b/>
          <w:sz w:val="28"/>
        </w:rPr>
        <w:t>Thông tin cập nhật về báo cáo Môi</w:t>
      </w:r>
      <w:r>
        <w:rPr>
          <w:b/>
          <w:sz w:val="28"/>
        </w:rPr>
        <w:t xml:space="preserve"> </w:t>
      </w:r>
      <w:r w:rsidRPr="00AC2C70">
        <w:rPr>
          <w:b/>
          <w:sz w:val="28"/>
        </w:rPr>
        <w:t>trường Kinh doanh</w:t>
      </w:r>
    </w:p>
    <w:bookmarkEnd w:id="0"/>
    <w:p w:rsidR="00AC2C70" w:rsidRDefault="00AC2C70" w:rsidP="0091582C">
      <w:pPr>
        <w:shd w:val="clear" w:color="auto" w:fill="FFFFFF" w:themeFill="background1"/>
        <w:ind w:left="-4" w:right="2"/>
        <w:jc w:val="both"/>
        <w:rPr>
          <w:b/>
        </w:rPr>
      </w:pPr>
    </w:p>
    <w:p w:rsidR="00CD1587" w:rsidRDefault="005570A3" w:rsidP="0091582C">
      <w:pPr>
        <w:shd w:val="clear" w:color="auto" w:fill="FFFFFF" w:themeFill="background1"/>
        <w:ind w:left="-4" w:right="2"/>
        <w:jc w:val="both"/>
      </w:pPr>
      <w:r>
        <w:rPr>
          <w:b/>
        </w:rPr>
        <w:t xml:space="preserve">Ngày </w:t>
      </w:r>
      <w:proofErr w:type="gramStart"/>
      <w:r w:rsidR="0072149F">
        <w:rPr>
          <w:b/>
        </w:rPr>
        <w:t>29</w:t>
      </w:r>
      <w:r>
        <w:rPr>
          <w:b/>
        </w:rPr>
        <w:t xml:space="preserve">  tháng</w:t>
      </w:r>
      <w:proofErr w:type="gramEnd"/>
      <w:r>
        <w:rPr>
          <w:b/>
        </w:rPr>
        <w:t xml:space="preserve"> 10 năm</w:t>
      </w:r>
      <w:r w:rsidR="0072149F">
        <w:rPr>
          <w:b/>
        </w:rPr>
        <w:t xml:space="preserve"> 2014</w:t>
      </w:r>
      <w:r w:rsidR="0072149F">
        <w:t xml:space="preserve">, </w:t>
      </w:r>
      <w:r>
        <w:t xml:space="preserve">Nhóm Ngân hàng thế giới đã phát hành báo cáo thường niên </w:t>
      </w:r>
      <w:r w:rsidR="004E654F">
        <w:t xml:space="preserve">quan trọng </w:t>
      </w:r>
      <w:r w:rsidRPr="005570A3">
        <w:rPr>
          <w:i/>
        </w:rPr>
        <w:t>Môi trường kinh doanh</w:t>
      </w:r>
      <w:r>
        <w:t xml:space="preserve"> lần thứ 12</w:t>
      </w:r>
      <w:r w:rsidR="00760117">
        <w:t>,</w:t>
      </w:r>
      <w:r>
        <w:t xml:space="preserve"> đo lường mức độ thuận lợi </w:t>
      </w:r>
      <w:r w:rsidR="00760117">
        <w:t xml:space="preserve">trong kinh doanh </w:t>
      </w:r>
      <w:r>
        <w:t xml:space="preserve">của 189 quốc gia trên toàn thế giới. </w:t>
      </w:r>
      <w:proofErr w:type="gramStart"/>
      <w:r>
        <w:t xml:space="preserve">Báo cáo năm nay áp dụng </w:t>
      </w:r>
      <w:r w:rsidR="00760117">
        <w:t>những</w:t>
      </w:r>
      <w:r>
        <w:t xml:space="preserve"> bộ chỉ số </w:t>
      </w:r>
      <w:r w:rsidR="004E654F">
        <w:t xml:space="preserve">được </w:t>
      </w:r>
      <w:r w:rsidR="00760117">
        <w:t>mở</w:t>
      </w:r>
      <w:r>
        <w:t xml:space="preserve"> rộng đáng kể và</w:t>
      </w:r>
      <w:r w:rsidR="00760117">
        <w:t xml:space="preserve"> có những</w:t>
      </w:r>
      <w:r>
        <w:t xml:space="preserve"> thay đổi trong cách tính xếp hạng.</w:t>
      </w:r>
      <w:proofErr w:type="gramEnd"/>
      <w:r w:rsidR="0072149F">
        <w:t xml:space="preserve">  </w:t>
      </w:r>
    </w:p>
    <w:p w:rsidR="00CD1587" w:rsidRDefault="0072149F" w:rsidP="0091582C">
      <w:pPr>
        <w:shd w:val="clear" w:color="auto" w:fill="FFFFFF" w:themeFill="background1"/>
        <w:spacing w:after="0" w:line="259" w:lineRule="auto"/>
        <w:ind w:left="2" w:firstLine="0"/>
        <w:jc w:val="both"/>
      </w:pPr>
      <w:r>
        <w:t xml:space="preserve"> </w:t>
      </w:r>
    </w:p>
    <w:p w:rsidR="003B0CCC" w:rsidRDefault="004E654F" w:rsidP="0091582C">
      <w:pPr>
        <w:shd w:val="clear" w:color="auto" w:fill="FFFFFF" w:themeFill="background1"/>
        <w:spacing w:after="0" w:line="259" w:lineRule="auto"/>
        <w:ind w:left="2" w:firstLine="0"/>
        <w:jc w:val="both"/>
      </w:pPr>
      <w:r>
        <w:rPr>
          <w:b/>
        </w:rPr>
        <w:t xml:space="preserve">Giới thiệu </w:t>
      </w:r>
      <w:r w:rsidR="00E70554">
        <w:rPr>
          <w:b/>
        </w:rPr>
        <w:t xml:space="preserve">chung </w:t>
      </w:r>
      <w:r>
        <w:rPr>
          <w:b/>
        </w:rPr>
        <w:t xml:space="preserve">về loạt báo cáo </w:t>
      </w:r>
      <w:r w:rsidRPr="004E654F">
        <w:rPr>
          <w:b/>
          <w:i/>
        </w:rPr>
        <w:t>Môi trường kinh doanh</w:t>
      </w:r>
      <w:r w:rsidR="0072149F">
        <w:rPr>
          <w:b/>
        </w:rPr>
        <w:t xml:space="preserve">: </w:t>
      </w:r>
      <w:r>
        <w:t xml:space="preserve">Báo cáo </w:t>
      </w:r>
      <w:r>
        <w:rPr>
          <w:i/>
        </w:rPr>
        <w:t xml:space="preserve">Môi trường kinh doanh </w:t>
      </w:r>
      <w:r w:rsidR="003B0CCC" w:rsidRPr="00203C58">
        <w:rPr>
          <w:iCs/>
          <w:szCs w:val="20"/>
          <w:lang w:val="vi-VN"/>
        </w:rPr>
        <w:t xml:space="preserve">phân tích các quy định áp dụng cho doanh nghiệp </w:t>
      </w:r>
      <w:r w:rsidR="003B0CCC">
        <w:rPr>
          <w:iCs/>
          <w:szCs w:val="20"/>
        </w:rPr>
        <w:t xml:space="preserve">thuộc một </w:t>
      </w:r>
      <w:r w:rsidR="003B0CCC" w:rsidRPr="00203C58">
        <w:rPr>
          <w:iCs/>
          <w:szCs w:val="20"/>
          <w:lang w:val="vi-VN"/>
        </w:rPr>
        <w:t xml:space="preserve">nền kinh tế trong vòng đời </w:t>
      </w:r>
      <w:r w:rsidR="003B0CCC">
        <w:rPr>
          <w:iCs/>
          <w:szCs w:val="20"/>
        </w:rPr>
        <w:t xml:space="preserve">của </w:t>
      </w:r>
      <w:r w:rsidR="003B0CCC" w:rsidRPr="00203C58">
        <w:rPr>
          <w:iCs/>
          <w:szCs w:val="20"/>
          <w:lang w:val="vi-VN"/>
        </w:rPr>
        <w:t xml:space="preserve">doanh nghiệp, </w:t>
      </w:r>
      <w:r w:rsidR="003B0CCC">
        <w:rPr>
          <w:iCs/>
          <w:szCs w:val="20"/>
        </w:rPr>
        <w:t>gồm có các quy định về</w:t>
      </w:r>
      <w:r w:rsidR="003B0CCC" w:rsidRPr="00203C58">
        <w:rPr>
          <w:iCs/>
          <w:szCs w:val="20"/>
          <w:lang w:val="vi-VN"/>
        </w:rPr>
        <w:t xml:space="preserve"> thành lập </w:t>
      </w:r>
      <w:r w:rsidR="003B0CCC">
        <w:rPr>
          <w:iCs/>
          <w:szCs w:val="20"/>
        </w:rPr>
        <w:t xml:space="preserve">và hoạt động của </w:t>
      </w:r>
      <w:r w:rsidR="003B0CCC" w:rsidRPr="00203C58">
        <w:rPr>
          <w:iCs/>
          <w:szCs w:val="20"/>
          <w:lang w:val="vi-VN"/>
        </w:rPr>
        <w:t>doanh nghiệp, thương mại quốc tế, nộp thuế</w:t>
      </w:r>
      <w:r w:rsidR="003B0CCC">
        <w:rPr>
          <w:iCs/>
          <w:szCs w:val="20"/>
        </w:rPr>
        <w:t xml:space="preserve"> và</w:t>
      </w:r>
      <w:r w:rsidR="003B0CCC" w:rsidRPr="00203C58">
        <w:rPr>
          <w:iCs/>
          <w:szCs w:val="20"/>
          <w:lang w:val="vi-VN"/>
        </w:rPr>
        <w:t xml:space="preserve"> </w:t>
      </w:r>
      <w:r w:rsidR="003B0CCC">
        <w:rPr>
          <w:iCs/>
          <w:szCs w:val="20"/>
        </w:rPr>
        <w:t>giải quyết tình trạng phá sản</w:t>
      </w:r>
      <w:r w:rsidR="003B0CCC" w:rsidRPr="0044581D">
        <w:rPr>
          <w:szCs w:val="20"/>
        </w:rPr>
        <w:t xml:space="preserve">. </w:t>
      </w:r>
      <w:r w:rsidR="003B0CCC" w:rsidRPr="00345379">
        <w:rPr>
          <w:szCs w:val="20"/>
          <w:lang w:val="vi-VN"/>
        </w:rPr>
        <w:t>T</w:t>
      </w:r>
      <w:r w:rsidR="00E70554">
        <w:rPr>
          <w:szCs w:val="20"/>
        </w:rPr>
        <w:t>ổng hợp</w:t>
      </w:r>
      <w:r w:rsidR="003B0CCC">
        <w:rPr>
          <w:szCs w:val="20"/>
        </w:rPr>
        <w:t xml:space="preserve"> xếp</w:t>
      </w:r>
      <w:r w:rsidR="003B0CCC" w:rsidRPr="00345379">
        <w:rPr>
          <w:szCs w:val="20"/>
          <w:lang w:val="vi-VN"/>
        </w:rPr>
        <w:t xml:space="preserve"> hạng mức độ thuận lợi kinh doanh được </w:t>
      </w:r>
      <w:r w:rsidR="003B0CCC" w:rsidRPr="00E07FDE">
        <w:rPr>
          <w:szCs w:val="20"/>
          <w:lang w:val="vi-VN"/>
        </w:rPr>
        <w:t>đánh giá</w:t>
      </w:r>
      <w:r w:rsidR="003B0CCC" w:rsidRPr="00345379">
        <w:rPr>
          <w:szCs w:val="20"/>
          <w:lang w:val="vi-VN"/>
        </w:rPr>
        <w:t xml:space="preserve"> </w:t>
      </w:r>
      <w:r w:rsidR="00E70554">
        <w:rPr>
          <w:szCs w:val="20"/>
        </w:rPr>
        <w:t xml:space="preserve">dựa trên chỉ số của 10 lĩnh vực </w:t>
      </w:r>
      <w:r w:rsidR="003B0CCC">
        <w:rPr>
          <w:szCs w:val="20"/>
        </w:rPr>
        <w:t xml:space="preserve">và </w:t>
      </w:r>
      <w:r w:rsidR="003B0CCC">
        <w:rPr>
          <w:szCs w:val="20"/>
          <w:lang w:val="vi-VN"/>
        </w:rPr>
        <w:t xml:space="preserve">bao trùm </w:t>
      </w:r>
      <w:r w:rsidR="003B0CCC" w:rsidRPr="00345379">
        <w:rPr>
          <w:szCs w:val="20"/>
          <w:lang w:val="vi-VN"/>
        </w:rPr>
        <w:t>18</w:t>
      </w:r>
      <w:r w:rsidR="003B0CCC">
        <w:rPr>
          <w:szCs w:val="20"/>
        </w:rPr>
        <w:t>9</w:t>
      </w:r>
      <w:r w:rsidR="003B0CCC" w:rsidRPr="00345379">
        <w:rPr>
          <w:szCs w:val="20"/>
          <w:lang w:val="vi-VN"/>
        </w:rPr>
        <w:t xml:space="preserve"> nền kinh tế</w:t>
      </w:r>
      <w:r w:rsidR="003B0CCC">
        <w:rPr>
          <w:szCs w:val="20"/>
        </w:rPr>
        <w:t>. Báo cáo</w:t>
      </w:r>
      <w:r w:rsidR="003B0CCC" w:rsidRPr="00345379">
        <w:rPr>
          <w:i/>
          <w:iCs/>
          <w:szCs w:val="20"/>
          <w:lang w:val="vi-VN"/>
        </w:rPr>
        <w:t xml:space="preserve"> Môi trường Kinh doanh</w:t>
      </w:r>
      <w:r w:rsidR="003B0CCC" w:rsidRPr="00345379">
        <w:rPr>
          <w:iCs/>
          <w:szCs w:val="20"/>
          <w:lang w:val="vi-VN"/>
        </w:rPr>
        <w:t xml:space="preserve"> </w:t>
      </w:r>
      <w:r w:rsidR="003B0CCC" w:rsidRPr="00E07FDE">
        <w:rPr>
          <w:iCs/>
          <w:szCs w:val="20"/>
          <w:lang w:val="vi-VN"/>
        </w:rPr>
        <w:t>không đánh giá</w:t>
      </w:r>
      <w:r w:rsidR="003B0CCC">
        <w:rPr>
          <w:iCs/>
          <w:szCs w:val="20"/>
        </w:rPr>
        <w:t xml:space="preserve"> </w:t>
      </w:r>
      <w:r w:rsidR="00E12204">
        <w:rPr>
          <w:iCs/>
          <w:szCs w:val="20"/>
        </w:rPr>
        <w:t>tất cả</w:t>
      </w:r>
      <w:r w:rsidR="003B0CCC">
        <w:rPr>
          <w:iCs/>
          <w:szCs w:val="20"/>
        </w:rPr>
        <w:t xml:space="preserve"> các lĩnh vực của </w:t>
      </w:r>
      <w:r w:rsidR="003B0CCC" w:rsidRPr="00345379">
        <w:rPr>
          <w:iCs/>
          <w:szCs w:val="20"/>
          <w:lang w:val="vi-VN"/>
        </w:rPr>
        <w:t xml:space="preserve">môi trường kinh doanh có </w:t>
      </w:r>
      <w:r w:rsidR="003B0CCC">
        <w:rPr>
          <w:iCs/>
          <w:szCs w:val="20"/>
        </w:rPr>
        <w:t>ảnh hưởng đến</w:t>
      </w:r>
      <w:r w:rsidR="003B0CCC" w:rsidRPr="00345379">
        <w:rPr>
          <w:iCs/>
          <w:szCs w:val="20"/>
          <w:lang w:val="vi-VN"/>
        </w:rPr>
        <w:t xml:space="preserve"> doanh nghiệp và nhà đầu </w:t>
      </w:r>
      <w:proofErr w:type="gramStart"/>
      <w:r w:rsidR="003B0CCC" w:rsidRPr="00345379">
        <w:rPr>
          <w:iCs/>
          <w:szCs w:val="20"/>
          <w:lang w:val="vi-VN"/>
        </w:rPr>
        <w:t>tư</w:t>
      </w:r>
      <w:proofErr w:type="gramEnd"/>
      <w:r w:rsidR="003B0CCC" w:rsidRPr="00345379">
        <w:rPr>
          <w:iCs/>
          <w:szCs w:val="20"/>
          <w:lang w:val="vi-VN"/>
        </w:rPr>
        <w:t>.</w:t>
      </w:r>
      <w:r w:rsidR="003B0CCC" w:rsidRPr="00E3338A">
        <w:rPr>
          <w:szCs w:val="20"/>
        </w:rPr>
        <w:t xml:space="preserve"> </w:t>
      </w:r>
      <w:r w:rsidR="003B0CCC">
        <w:rPr>
          <w:szCs w:val="20"/>
        </w:rPr>
        <w:t>Ví dụ như</w:t>
      </w:r>
      <w:r w:rsidR="003B0CCC" w:rsidRPr="00345379">
        <w:rPr>
          <w:szCs w:val="20"/>
          <w:lang w:val="vi-VN"/>
        </w:rPr>
        <w:t xml:space="preserve"> </w:t>
      </w:r>
      <w:r w:rsidR="003B0CCC">
        <w:rPr>
          <w:szCs w:val="20"/>
        </w:rPr>
        <w:t>báo cáo này</w:t>
      </w:r>
      <w:r w:rsidR="003B0CCC" w:rsidRPr="00345379">
        <w:rPr>
          <w:szCs w:val="20"/>
          <w:lang w:val="vi-VN"/>
        </w:rPr>
        <w:t xml:space="preserve"> không </w:t>
      </w:r>
      <w:r w:rsidR="003B0CCC">
        <w:rPr>
          <w:szCs w:val="20"/>
        </w:rPr>
        <w:t xml:space="preserve">đo lường </w:t>
      </w:r>
      <w:r w:rsidR="00E12204">
        <w:rPr>
          <w:szCs w:val="20"/>
        </w:rPr>
        <w:t>mức độ</w:t>
      </w:r>
      <w:r w:rsidR="003B0CCC">
        <w:rPr>
          <w:szCs w:val="20"/>
        </w:rPr>
        <w:t xml:space="preserve"> an toàn, quy mô thị trường, tính ổ</w:t>
      </w:r>
      <w:r w:rsidR="003B0CCC" w:rsidRPr="00345379">
        <w:rPr>
          <w:szCs w:val="20"/>
          <w:lang w:val="vi-VN"/>
        </w:rPr>
        <w:t>n định kinh tế vĩ mô</w:t>
      </w:r>
      <w:r w:rsidR="003B0CCC">
        <w:rPr>
          <w:szCs w:val="20"/>
        </w:rPr>
        <w:t xml:space="preserve"> hoặc sự lan tràn của tệ nạn hối lộ và tham nhũng</w:t>
      </w:r>
      <w:r w:rsidR="003B0CCC" w:rsidRPr="00345379">
        <w:rPr>
          <w:szCs w:val="20"/>
          <w:lang w:val="vi-VN"/>
        </w:rPr>
        <w:t>.</w:t>
      </w:r>
      <w:r w:rsidR="003B0CCC" w:rsidRPr="0044581D">
        <w:rPr>
          <w:szCs w:val="20"/>
        </w:rPr>
        <w:t xml:space="preserve"> </w:t>
      </w:r>
      <w:r w:rsidR="003B0CCC">
        <w:rPr>
          <w:szCs w:val="20"/>
        </w:rPr>
        <w:t>Các phát hiện</w:t>
      </w:r>
      <w:r w:rsidR="003B0CCC" w:rsidRPr="00345379">
        <w:rPr>
          <w:szCs w:val="20"/>
          <w:lang w:val="vi-VN"/>
        </w:rPr>
        <w:t xml:space="preserve"> </w:t>
      </w:r>
      <w:r w:rsidR="003B0CCC">
        <w:rPr>
          <w:szCs w:val="20"/>
        </w:rPr>
        <w:t xml:space="preserve">trong báo cáo đã </w:t>
      </w:r>
      <w:r w:rsidR="003B0CCC" w:rsidRPr="00345379">
        <w:rPr>
          <w:szCs w:val="20"/>
          <w:lang w:val="vi-VN"/>
        </w:rPr>
        <w:t xml:space="preserve">thúc đẩy quá trình thảo luận </w:t>
      </w:r>
      <w:r w:rsidR="003B0CCC">
        <w:rPr>
          <w:szCs w:val="20"/>
        </w:rPr>
        <w:t xml:space="preserve">về </w:t>
      </w:r>
      <w:r w:rsidR="003B0CCC" w:rsidRPr="00345379">
        <w:rPr>
          <w:szCs w:val="20"/>
          <w:lang w:val="vi-VN"/>
        </w:rPr>
        <w:t xml:space="preserve">chính sách trên toàn thế giới và </w:t>
      </w:r>
      <w:r w:rsidR="003B0CCC" w:rsidRPr="00761D2E">
        <w:rPr>
          <w:szCs w:val="20"/>
          <w:lang w:val="vi-VN"/>
        </w:rPr>
        <w:t xml:space="preserve">tạo điều kiện </w:t>
      </w:r>
      <w:r w:rsidR="003B0CCC">
        <w:rPr>
          <w:szCs w:val="20"/>
        </w:rPr>
        <w:t xml:space="preserve">cho việc </w:t>
      </w:r>
      <w:r w:rsidR="003B0CCC" w:rsidRPr="00761D2E">
        <w:rPr>
          <w:szCs w:val="20"/>
          <w:lang w:val="vi-VN"/>
        </w:rPr>
        <w:t xml:space="preserve">tăng cường nghiên </w:t>
      </w:r>
      <w:r w:rsidR="003B0CCC" w:rsidRPr="00E07FDE">
        <w:rPr>
          <w:szCs w:val="20"/>
          <w:lang w:val="vi-VN"/>
        </w:rPr>
        <w:t xml:space="preserve">cứu về ảnh hưởng của </w:t>
      </w:r>
      <w:r w:rsidR="003B0CCC">
        <w:rPr>
          <w:szCs w:val="20"/>
        </w:rPr>
        <w:t>các quy định ở cấp</w:t>
      </w:r>
      <w:r w:rsidR="003B0CCC">
        <w:rPr>
          <w:szCs w:val="20"/>
          <w:lang w:val="vi-VN"/>
        </w:rPr>
        <w:t xml:space="preserve"> doanh nghiệp tới </w:t>
      </w:r>
      <w:r w:rsidR="003B0CCC">
        <w:rPr>
          <w:szCs w:val="20"/>
        </w:rPr>
        <w:t>kết quả hoạt động</w:t>
      </w:r>
      <w:r w:rsidR="003B0CCC">
        <w:rPr>
          <w:szCs w:val="20"/>
          <w:lang w:val="vi-VN"/>
        </w:rPr>
        <w:t xml:space="preserve"> chung của các nền kinh tế</w:t>
      </w:r>
      <w:r w:rsidR="003B0CCC">
        <w:rPr>
          <w:szCs w:val="20"/>
        </w:rPr>
        <w:t>.</w:t>
      </w:r>
    </w:p>
    <w:p w:rsidR="000201B3" w:rsidRDefault="000201B3" w:rsidP="0091582C">
      <w:pPr>
        <w:shd w:val="clear" w:color="auto" w:fill="FFFFFF" w:themeFill="background1"/>
        <w:spacing w:after="0" w:line="259" w:lineRule="auto"/>
        <w:ind w:left="2" w:firstLine="0"/>
        <w:jc w:val="both"/>
      </w:pPr>
    </w:p>
    <w:p w:rsidR="00CD1587" w:rsidRDefault="000201B3" w:rsidP="0091582C">
      <w:pPr>
        <w:shd w:val="clear" w:color="auto" w:fill="FFFFFF" w:themeFill="background1"/>
        <w:spacing w:after="0" w:line="259" w:lineRule="auto"/>
        <w:ind w:left="2" w:firstLine="0"/>
        <w:jc w:val="both"/>
      </w:pPr>
      <w:r>
        <w:t xml:space="preserve">Tiêu đề của báo cáo năm nay là </w:t>
      </w:r>
      <w:r w:rsidRPr="000201B3">
        <w:rPr>
          <w:rFonts w:eastAsia="Calibri"/>
          <w:b/>
          <w:bCs/>
          <w:i/>
          <w:szCs w:val="20"/>
        </w:rPr>
        <w:t>Môi trường kinh doanh</w:t>
      </w:r>
      <w:r w:rsidRPr="000201B3">
        <w:rPr>
          <w:rFonts w:eastAsia="Calibri"/>
          <w:b/>
          <w:bCs/>
          <w:szCs w:val="20"/>
        </w:rPr>
        <w:t xml:space="preserve"> </w:t>
      </w:r>
      <w:r w:rsidRPr="000201B3">
        <w:rPr>
          <w:rFonts w:eastAsia="Calibri"/>
          <w:b/>
          <w:bCs/>
          <w:i/>
          <w:szCs w:val="20"/>
        </w:rPr>
        <w:t>2015: Xa hơn hiệu quả</w:t>
      </w:r>
      <w:r w:rsidR="0072149F" w:rsidRPr="000201B3">
        <w:rPr>
          <w:b/>
          <w:i/>
        </w:rPr>
        <w:t>.</w:t>
      </w:r>
      <w:r w:rsidR="0072149F">
        <w:rPr>
          <w:b/>
        </w:rPr>
        <w:t xml:space="preserve"> </w:t>
      </w:r>
    </w:p>
    <w:p w:rsidR="00CD1587" w:rsidRDefault="0072149F" w:rsidP="0091582C">
      <w:pPr>
        <w:shd w:val="clear" w:color="auto" w:fill="FFFFFF" w:themeFill="background1"/>
        <w:spacing w:after="0" w:line="259" w:lineRule="auto"/>
        <w:ind w:left="2" w:firstLine="0"/>
        <w:jc w:val="both"/>
      </w:pPr>
      <w:r>
        <w:t xml:space="preserve"> </w:t>
      </w:r>
    </w:p>
    <w:p w:rsidR="00CD1587" w:rsidRDefault="00D75D7B" w:rsidP="0091582C">
      <w:pPr>
        <w:shd w:val="clear" w:color="auto" w:fill="FFFFFF" w:themeFill="background1"/>
        <w:spacing w:after="0" w:line="259" w:lineRule="auto"/>
        <w:ind w:left="-3" w:hanging="10"/>
        <w:jc w:val="both"/>
      </w:pPr>
      <w:proofErr w:type="gramStart"/>
      <w:r>
        <w:rPr>
          <w:b/>
        </w:rPr>
        <w:t>Năm nay có gì mới</w:t>
      </w:r>
      <w:r w:rsidR="0072149F">
        <w:rPr>
          <w:b/>
        </w:rPr>
        <w:t>?</w:t>
      </w:r>
      <w:proofErr w:type="gramEnd"/>
      <w:r w:rsidR="0072149F">
        <w:rPr>
          <w:b/>
        </w:rPr>
        <w:t xml:space="preserve"> </w:t>
      </w:r>
    </w:p>
    <w:p w:rsidR="00CD1587" w:rsidRDefault="00B36D2C" w:rsidP="0091582C">
      <w:pPr>
        <w:shd w:val="clear" w:color="auto" w:fill="FFFFFF" w:themeFill="background1"/>
        <w:ind w:left="-4" w:right="2"/>
        <w:jc w:val="both"/>
      </w:pPr>
      <w:r>
        <w:t xml:space="preserve">Hàng năm, nhóm báo cáo </w:t>
      </w:r>
      <w:r w:rsidR="00E82B63">
        <w:t>nghiên cứu</w:t>
      </w:r>
      <w:r w:rsidR="00941793">
        <w:t xml:space="preserve"> để</w:t>
      </w:r>
      <w:r>
        <w:t xml:space="preserve"> cải thiện phương pháp luậ</w:t>
      </w:r>
      <w:r w:rsidR="00B368E5">
        <w:t xml:space="preserve">n đồng thời </w:t>
      </w:r>
      <w:r>
        <w:t xml:space="preserve">tăng cường </w:t>
      </w:r>
      <w:proofErr w:type="gramStart"/>
      <w:r>
        <w:t>thu</w:t>
      </w:r>
      <w:proofErr w:type="gramEnd"/>
      <w:r>
        <w:t xml:space="preserve"> thập, phân tích và cung cấp dữ liệu</w:t>
      </w:r>
      <w:r w:rsidR="0072149F">
        <w:t xml:space="preserve">. </w:t>
      </w:r>
      <w:r w:rsidR="00B368E5">
        <w:t xml:space="preserve">Với mục đích chính là mang đến một </w:t>
      </w:r>
      <w:r w:rsidR="00E70554">
        <w:t xml:space="preserve">cơ sở </w:t>
      </w:r>
      <w:r w:rsidR="00B368E5">
        <w:t xml:space="preserve">khách quan </w:t>
      </w:r>
      <w:r w:rsidR="00E70554">
        <w:t xml:space="preserve">về </w:t>
      </w:r>
      <w:r w:rsidR="00B368E5">
        <w:t xml:space="preserve">hiểu biết và cải thiện môi trường </w:t>
      </w:r>
      <w:r w:rsidR="00E70554">
        <w:t xml:space="preserve">pháp lý </w:t>
      </w:r>
      <w:r w:rsidR="00B368E5">
        <w:t xml:space="preserve">cho </w:t>
      </w:r>
      <w:r w:rsidR="005804C2">
        <w:t xml:space="preserve">các </w:t>
      </w:r>
      <w:r w:rsidR="00B368E5">
        <w:t xml:space="preserve">doanh nghiệp địa phương thuộc các nền kinh tế trên khắp thế giới, dự </w:t>
      </w:r>
      <w:proofErr w:type="gramStart"/>
      <w:r w:rsidR="00B368E5">
        <w:t>án</w:t>
      </w:r>
      <w:proofErr w:type="gramEnd"/>
      <w:r w:rsidR="00B368E5">
        <w:t xml:space="preserve"> này đã trả</w:t>
      </w:r>
      <w:r w:rsidR="005804C2">
        <w:t>i</w:t>
      </w:r>
      <w:r w:rsidR="00B368E5">
        <w:t xml:space="preserve"> qua những rà soát khắt khe nhằm đảm bảo chất lượng và hiệu quả. </w:t>
      </w:r>
      <w:r w:rsidR="00801A08">
        <w:t>Trong những năm vừa qua, d</w:t>
      </w:r>
      <w:r w:rsidR="00D13CEB">
        <w:t xml:space="preserve">ự </w:t>
      </w:r>
      <w:proofErr w:type="gramStart"/>
      <w:r w:rsidR="00D13CEB">
        <w:t>án</w:t>
      </w:r>
      <w:proofErr w:type="gramEnd"/>
      <w:r w:rsidR="00D13CEB">
        <w:t xml:space="preserve"> đã</w:t>
      </w:r>
      <w:r w:rsidR="004C77D7">
        <w:t xml:space="preserve"> được</w:t>
      </w:r>
      <w:r w:rsidR="00801A08">
        <w:t xml:space="preserve"> </w:t>
      </w:r>
      <w:r w:rsidR="0095716E">
        <w:t>hưởng lợi từ</w:t>
      </w:r>
      <w:r w:rsidR="004C77D7">
        <w:t xml:space="preserve"> ý kiến</w:t>
      </w:r>
      <w:r w:rsidR="00801A08">
        <w:t xml:space="preserve"> phản hồi của nhiều </w:t>
      </w:r>
      <w:r w:rsidR="00E70554">
        <w:t xml:space="preserve">bên </w:t>
      </w:r>
      <w:r w:rsidR="0095716E">
        <w:t>liên quan</w:t>
      </w:r>
      <w:r w:rsidR="00801A08">
        <w:t xml:space="preserve">. </w:t>
      </w:r>
    </w:p>
    <w:p w:rsidR="00CD1587" w:rsidRDefault="0072149F" w:rsidP="0091582C">
      <w:pPr>
        <w:shd w:val="clear" w:color="auto" w:fill="FFFFFF" w:themeFill="background1"/>
        <w:spacing w:after="0" w:line="259" w:lineRule="auto"/>
        <w:ind w:left="2" w:firstLine="0"/>
        <w:jc w:val="both"/>
      </w:pPr>
      <w:r>
        <w:t xml:space="preserve"> </w:t>
      </w:r>
    </w:p>
    <w:p w:rsidR="00CD1587" w:rsidRDefault="00D25125" w:rsidP="0091582C">
      <w:pPr>
        <w:shd w:val="clear" w:color="auto" w:fill="FFFFFF" w:themeFill="background1"/>
        <w:spacing w:after="0" w:line="259" w:lineRule="auto"/>
        <w:ind w:left="-3" w:hanging="10"/>
        <w:jc w:val="both"/>
      </w:pPr>
      <w:r w:rsidRPr="000201B3">
        <w:rPr>
          <w:rFonts w:eastAsia="Calibri"/>
          <w:b/>
          <w:bCs/>
          <w:i/>
          <w:szCs w:val="20"/>
        </w:rPr>
        <w:t>Môi trường kinh doanh</w:t>
      </w:r>
      <w:r w:rsidRPr="000201B3">
        <w:rPr>
          <w:rFonts w:eastAsia="Calibri"/>
          <w:b/>
          <w:bCs/>
          <w:szCs w:val="20"/>
        </w:rPr>
        <w:t xml:space="preserve"> </w:t>
      </w:r>
      <w:r w:rsidRPr="000201B3">
        <w:rPr>
          <w:rFonts w:eastAsia="Calibri"/>
          <w:b/>
          <w:bCs/>
          <w:i/>
          <w:szCs w:val="20"/>
        </w:rPr>
        <w:t>2015</w:t>
      </w:r>
      <w:r>
        <w:rPr>
          <w:rFonts w:eastAsia="Calibri"/>
          <w:b/>
          <w:bCs/>
          <w:i/>
          <w:szCs w:val="20"/>
        </w:rPr>
        <w:t xml:space="preserve"> </w:t>
      </w:r>
      <w:r w:rsidR="00DC5DF8">
        <w:rPr>
          <w:b/>
        </w:rPr>
        <w:t>đưa ra 03</w:t>
      </w:r>
      <w:r>
        <w:rPr>
          <w:b/>
        </w:rPr>
        <w:t xml:space="preserve"> thay đổi</w:t>
      </w:r>
      <w:r w:rsidR="0072149F">
        <w:rPr>
          <w:b/>
        </w:rPr>
        <w:t xml:space="preserve">: </w:t>
      </w:r>
    </w:p>
    <w:p w:rsidR="00CD1587" w:rsidRDefault="0072149F" w:rsidP="0091582C">
      <w:pPr>
        <w:shd w:val="clear" w:color="auto" w:fill="FFFFFF" w:themeFill="background1"/>
        <w:spacing w:after="0" w:line="259" w:lineRule="auto"/>
        <w:ind w:left="1" w:firstLine="0"/>
        <w:jc w:val="both"/>
      </w:pPr>
      <w:r>
        <w:t xml:space="preserve"> </w:t>
      </w:r>
    </w:p>
    <w:p w:rsidR="00CD1587" w:rsidRDefault="00951780" w:rsidP="0091582C">
      <w:pPr>
        <w:numPr>
          <w:ilvl w:val="0"/>
          <w:numId w:val="1"/>
        </w:numPr>
        <w:shd w:val="clear" w:color="auto" w:fill="FFFFFF" w:themeFill="background1"/>
        <w:spacing w:after="0" w:line="259" w:lineRule="auto"/>
        <w:ind w:hanging="360"/>
        <w:jc w:val="both"/>
      </w:pPr>
      <w:r>
        <w:rPr>
          <w:b/>
        </w:rPr>
        <w:t xml:space="preserve">Bổ sung </w:t>
      </w:r>
      <w:r w:rsidR="001A61C5">
        <w:rPr>
          <w:b/>
        </w:rPr>
        <w:t xml:space="preserve">thêm </w:t>
      </w:r>
      <w:r>
        <w:rPr>
          <w:b/>
        </w:rPr>
        <w:t xml:space="preserve">một thành phố </w:t>
      </w:r>
      <w:r w:rsidR="001A61C5">
        <w:rPr>
          <w:b/>
        </w:rPr>
        <w:t>đối với</w:t>
      </w:r>
      <w:r>
        <w:rPr>
          <w:b/>
        </w:rPr>
        <w:t xml:space="preserve"> 11 nền kinh tế</w:t>
      </w:r>
      <w:r w:rsidR="0072149F">
        <w:rPr>
          <w:b/>
        </w:rPr>
        <w:t xml:space="preserve">: </w:t>
      </w:r>
    </w:p>
    <w:p w:rsidR="00CD1587" w:rsidRDefault="00FD650D" w:rsidP="0091582C">
      <w:pPr>
        <w:shd w:val="clear" w:color="auto" w:fill="FFFFFF" w:themeFill="background1"/>
        <w:ind w:left="-4" w:right="2"/>
        <w:jc w:val="both"/>
      </w:pPr>
      <w:r>
        <w:t>Lần đầu tiên trong lịch sử phát hành,</w:t>
      </w:r>
      <w:r w:rsidRPr="00FD650D">
        <w:t xml:space="preserve"> </w:t>
      </w:r>
      <w:r w:rsidR="00083260">
        <w:t xml:space="preserve">báo cáo </w:t>
      </w:r>
      <w:r w:rsidRPr="00FD650D">
        <w:rPr>
          <w:rFonts w:eastAsia="Calibri"/>
          <w:bCs/>
          <w:i/>
          <w:szCs w:val="20"/>
        </w:rPr>
        <w:t>Môi trường kinh doanh</w:t>
      </w:r>
      <w:r w:rsidRPr="00FD650D">
        <w:rPr>
          <w:rFonts w:eastAsia="Calibri"/>
          <w:bCs/>
          <w:szCs w:val="20"/>
        </w:rPr>
        <w:t xml:space="preserve"> </w:t>
      </w:r>
      <w:r>
        <w:t xml:space="preserve">bổ sung thêm một thành phố </w:t>
      </w:r>
      <w:r w:rsidR="00083260">
        <w:t xml:space="preserve">cho </w:t>
      </w:r>
      <w:r>
        <w:t>11 nền kinh tế có số dân trên 100 triệu người. 11 nền kinh tế này gồm có Băng-la-đet, Bờ-ra-xin, Trung Quốc, Ấn Độ, In-đô-nê-xi-a, Nhật Bản, Mê-xi-cô, Ni-giê-ri-a, Pa-kit-tan, Liên bang Nga và H</w:t>
      </w:r>
      <w:r w:rsidR="00E70554">
        <w:t>ợp</w:t>
      </w:r>
      <w:r>
        <w:t xml:space="preserve"> chủng quốc Hoa Kỳ</w:t>
      </w:r>
      <w:r w:rsidR="0072149F">
        <w:t xml:space="preserve">. </w:t>
      </w:r>
      <w:r w:rsidR="00F572CE">
        <w:t>Việc bổ sung thêm một thành phố cho phép có sự so sánh trong một quốc gia và cơ sở đối chiếu với những thành phố lớn khác.</w:t>
      </w:r>
      <w:r w:rsidR="0072149F">
        <w:t xml:space="preserve"> </w:t>
      </w:r>
    </w:p>
    <w:p w:rsidR="00CD1587" w:rsidRDefault="0072149F" w:rsidP="0091582C">
      <w:pPr>
        <w:shd w:val="clear" w:color="auto" w:fill="FFFFFF" w:themeFill="background1"/>
        <w:spacing w:after="0" w:line="259" w:lineRule="auto"/>
        <w:ind w:left="1" w:firstLine="0"/>
        <w:jc w:val="both"/>
      </w:pPr>
      <w:r>
        <w:t xml:space="preserve"> </w:t>
      </w:r>
    </w:p>
    <w:p w:rsidR="00CD1587" w:rsidRDefault="00CB3623" w:rsidP="0091582C">
      <w:pPr>
        <w:numPr>
          <w:ilvl w:val="0"/>
          <w:numId w:val="1"/>
        </w:numPr>
        <w:shd w:val="clear" w:color="auto" w:fill="FFFFFF" w:themeFill="background1"/>
        <w:spacing w:after="0" w:line="259" w:lineRule="auto"/>
        <w:ind w:hanging="360"/>
        <w:jc w:val="both"/>
      </w:pPr>
      <w:r>
        <w:rPr>
          <w:b/>
        </w:rPr>
        <w:t>Mở</w:t>
      </w:r>
      <w:r w:rsidR="001E2E44">
        <w:rPr>
          <w:b/>
        </w:rPr>
        <w:t xml:space="preserve"> rộng phạm vi của 03 trong số 10 chủ đề</w:t>
      </w:r>
      <w:r w:rsidR="0072149F">
        <w:rPr>
          <w:b/>
        </w:rPr>
        <w:t xml:space="preserve">: </w:t>
      </w:r>
    </w:p>
    <w:p w:rsidR="00CD1587" w:rsidRDefault="00456D3A" w:rsidP="0091582C">
      <w:pPr>
        <w:shd w:val="clear" w:color="auto" w:fill="FFFFFF" w:themeFill="background1"/>
        <w:ind w:left="-4" w:right="2"/>
        <w:jc w:val="both"/>
      </w:pPr>
      <w:r>
        <w:t xml:space="preserve">Báo cáo năm nay </w:t>
      </w:r>
      <w:r w:rsidR="00CB3623">
        <w:t>mở</w:t>
      </w:r>
      <w:r>
        <w:t xml:space="preserve">i rộng phạm </w:t>
      </w:r>
      <w:proofErr w:type="gramStart"/>
      <w:r>
        <w:t>vi</w:t>
      </w:r>
      <w:proofErr w:type="gramEnd"/>
      <w:r>
        <w:t xml:space="preserve"> của 03 bộ chỉ số: giải quyết tình trạng phá sản, bảo vệ nhà đầu tư </w:t>
      </w:r>
      <w:r w:rsidR="00E70554">
        <w:t>nhỏ lẻ</w:t>
      </w:r>
      <w:r>
        <w:t xml:space="preserve"> và tiếp cận tín dụng</w:t>
      </w:r>
      <w:r w:rsidR="0072149F">
        <w:t xml:space="preserve">.  </w:t>
      </w:r>
    </w:p>
    <w:p w:rsidR="00CD1587" w:rsidRDefault="00CD1587" w:rsidP="0091582C">
      <w:pPr>
        <w:shd w:val="clear" w:color="auto" w:fill="FFFFFF" w:themeFill="background1"/>
        <w:spacing w:after="0" w:line="259" w:lineRule="auto"/>
        <w:ind w:left="0" w:firstLine="0"/>
        <w:jc w:val="both"/>
      </w:pPr>
    </w:p>
    <w:p w:rsidR="00CD1587" w:rsidRDefault="00E70554" w:rsidP="0091582C">
      <w:pPr>
        <w:shd w:val="clear" w:color="auto" w:fill="FFFFFF" w:themeFill="background1"/>
        <w:ind w:left="-4" w:right="2"/>
        <w:jc w:val="both"/>
      </w:pPr>
      <w:r>
        <w:t xml:space="preserve">Từ </w:t>
      </w:r>
      <w:r w:rsidR="00FB3096">
        <w:t xml:space="preserve">đầu, chỉ số về giải quyết tình trạng phá sản </w:t>
      </w:r>
      <w:r>
        <w:t xml:space="preserve">nhằm </w:t>
      </w:r>
      <w:r w:rsidR="00FB3096">
        <w:t>đo thời gian, chi phí và kết quả của một quy trình</w:t>
      </w:r>
      <w:r w:rsidR="00CB3623">
        <w:t xml:space="preserve"> giải quyết </w:t>
      </w:r>
      <w:r w:rsidR="00FB3096">
        <w:t xml:space="preserve">phá sản </w:t>
      </w:r>
      <w:r w:rsidR="00EA63EC">
        <w:t>cho</w:t>
      </w:r>
      <w:r w:rsidR="00FB3096">
        <w:t xml:space="preserve"> một công ty</w:t>
      </w:r>
      <w:r>
        <w:t xml:space="preserve"> điển hình</w:t>
      </w:r>
      <w:r w:rsidR="00EA63EC">
        <w:t>,</w:t>
      </w:r>
      <w:r w:rsidR="00FB3096">
        <w:t xml:space="preserve"> cũng như tỷ lệ </w:t>
      </w:r>
      <w:proofErr w:type="gramStart"/>
      <w:r w:rsidR="00FB3096">
        <w:t>thu</w:t>
      </w:r>
      <w:proofErr w:type="gramEnd"/>
      <w:r w:rsidR="00FB3096">
        <w:t xml:space="preserve"> hồi </w:t>
      </w:r>
      <w:r w:rsidR="00EA63EC">
        <w:t xml:space="preserve">nợ </w:t>
      </w:r>
      <w:r w:rsidR="00FB3096">
        <w:t xml:space="preserve">của các chủ nợ. </w:t>
      </w:r>
      <w:r w:rsidR="00EA63EC">
        <w:t xml:space="preserve">Do vậy, những chỉ số này chủ yếu tập trung vào hiệu lực của hệ thống tòa </w:t>
      </w:r>
      <w:proofErr w:type="gramStart"/>
      <w:r w:rsidR="00EA63EC">
        <w:t>án</w:t>
      </w:r>
      <w:proofErr w:type="gramEnd"/>
      <w:r w:rsidR="00EA63EC">
        <w:t xml:space="preserve"> giải quyết việc phá sản. </w:t>
      </w:r>
      <w:r w:rsidR="00E80A9D">
        <w:t xml:space="preserve">Trong báo cáo năm nay, những chỉ số này tiến xa hơn, đo lường một cách </w:t>
      </w:r>
      <w:r w:rsidR="00D12E2C">
        <w:t xml:space="preserve">rõ ràng </w:t>
      </w:r>
      <w:r w:rsidR="00E80A9D">
        <w:t>sức mạnh của khung pháp lý cho việc phá sản</w:t>
      </w:r>
      <w:r w:rsidR="0072149F">
        <w:t xml:space="preserve">. </w:t>
      </w:r>
      <w:r w:rsidR="00116927">
        <w:t>Một chỉ số mới – chỉ số sức mạnh của khung pháp lý cho việc phá sản</w:t>
      </w:r>
      <w:r w:rsidR="0072149F">
        <w:t xml:space="preserve">, </w:t>
      </w:r>
      <w:r w:rsidR="00116927">
        <w:t xml:space="preserve">đánh giá những thông lệ tốt theo </w:t>
      </w:r>
      <w:r w:rsidR="007C6296">
        <w:rPr>
          <w:i/>
        </w:rPr>
        <w:t>Những</w:t>
      </w:r>
      <w:r w:rsidR="00116927" w:rsidRPr="00116927">
        <w:rPr>
          <w:i/>
        </w:rPr>
        <w:t xml:space="preserve"> </w:t>
      </w:r>
      <w:r w:rsidR="00CB3623">
        <w:rPr>
          <w:i/>
        </w:rPr>
        <w:t>n</w:t>
      </w:r>
      <w:r w:rsidR="00116927" w:rsidRPr="00116927">
        <w:rPr>
          <w:i/>
        </w:rPr>
        <w:t xml:space="preserve">guyên tắc </w:t>
      </w:r>
      <w:r w:rsidR="007C6296">
        <w:rPr>
          <w:i/>
        </w:rPr>
        <w:t>giải quyết</w:t>
      </w:r>
      <w:r w:rsidR="00116927" w:rsidRPr="00116927">
        <w:rPr>
          <w:i/>
        </w:rPr>
        <w:t xml:space="preserve"> phá sản</w:t>
      </w:r>
      <w:r w:rsidR="00CB3623">
        <w:rPr>
          <w:i/>
        </w:rPr>
        <w:t xml:space="preserve"> hữu</w:t>
      </w:r>
      <w:r w:rsidR="00116927" w:rsidRPr="00116927">
        <w:rPr>
          <w:i/>
        </w:rPr>
        <w:t xml:space="preserve"> </w:t>
      </w:r>
      <w:r w:rsidR="007C6296">
        <w:rPr>
          <w:i/>
        </w:rPr>
        <w:t>hiệu</w:t>
      </w:r>
      <w:r w:rsidR="00116927" w:rsidRPr="00116927">
        <w:rPr>
          <w:i/>
        </w:rPr>
        <w:t xml:space="preserve"> và Cơ chế Chủ nợ/</w:t>
      </w:r>
      <w:r w:rsidR="00116927">
        <w:rPr>
          <w:i/>
        </w:rPr>
        <w:t>Đối tượng</w:t>
      </w:r>
      <w:r w:rsidR="00116927" w:rsidRPr="00116927">
        <w:rPr>
          <w:i/>
        </w:rPr>
        <w:t xml:space="preserve"> vay </w:t>
      </w:r>
      <w:proofErr w:type="gramStart"/>
      <w:r w:rsidR="00116927" w:rsidRPr="00116927">
        <w:rPr>
          <w:i/>
        </w:rPr>
        <w:t>nợ</w:t>
      </w:r>
      <w:r w:rsidR="00116927">
        <w:t xml:space="preserve">  của</w:t>
      </w:r>
      <w:proofErr w:type="gramEnd"/>
      <w:r w:rsidR="00116927">
        <w:t xml:space="preserve"> Ngân </w:t>
      </w:r>
      <w:r w:rsidR="00116927">
        <w:lastRenderedPageBreak/>
        <w:t xml:space="preserve">hàng thế giới </w:t>
      </w:r>
      <w:r w:rsidR="007C6296">
        <w:t xml:space="preserve">và </w:t>
      </w:r>
      <w:r w:rsidR="007C6296" w:rsidRPr="007C6296">
        <w:rPr>
          <w:i/>
        </w:rPr>
        <w:t xml:space="preserve">Hướng dẫn </w:t>
      </w:r>
      <w:r w:rsidR="00CB3623">
        <w:rPr>
          <w:i/>
        </w:rPr>
        <w:t>xây dựng pháp l</w:t>
      </w:r>
      <w:r w:rsidR="007C6296" w:rsidRPr="007C6296">
        <w:rPr>
          <w:i/>
        </w:rPr>
        <w:t>uật phá sản</w:t>
      </w:r>
      <w:r w:rsidR="007C6296">
        <w:t xml:space="preserve"> của Ủy ban Luật Thương mại quốc tế của Liên h</w:t>
      </w:r>
      <w:r w:rsidR="00CB3623">
        <w:t>iệp</w:t>
      </w:r>
      <w:r w:rsidR="007C6296">
        <w:t xml:space="preserve"> quốc </w:t>
      </w:r>
      <w:r w:rsidR="0072149F">
        <w:t>(UNCITRAL)</w:t>
      </w:r>
      <w:r w:rsidR="007C6296">
        <w:t>. Chỉ số này đo lường 04 khía cạnh sau</w:t>
      </w:r>
      <w:r w:rsidR="0072149F">
        <w:t xml:space="preserve">: </w:t>
      </w:r>
    </w:p>
    <w:p w:rsidR="00CD1587" w:rsidRDefault="000C2246" w:rsidP="00657F17">
      <w:pPr>
        <w:numPr>
          <w:ilvl w:val="0"/>
          <w:numId w:val="2"/>
        </w:numPr>
        <w:shd w:val="clear" w:color="auto" w:fill="FFFFFF" w:themeFill="background1"/>
        <w:ind w:right="2" w:hanging="360"/>
        <w:jc w:val="both"/>
      </w:pPr>
      <w:r>
        <w:t xml:space="preserve">Quyền của chủ nợ hoặc </w:t>
      </w:r>
      <w:r w:rsidR="00CB1E9E">
        <w:t xml:space="preserve">đối tượng </w:t>
      </w:r>
      <w:r>
        <w:t xml:space="preserve">vay nợ </w:t>
      </w:r>
      <w:r w:rsidR="00016235">
        <w:t>đối với việc</w:t>
      </w:r>
      <w:r>
        <w:t xml:space="preserve"> mở </w:t>
      </w:r>
      <w:r w:rsidR="00544026">
        <w:t xml:space="preserve">thủ tục </w:t>
      </w:r>
      <w:r w:rsidR="00544183">
        <w:t>thanh lý</w:t>
      </w:r>
      <w:r w:rsidR="00544026">
        <w:t xml:space="preserve">, </w:t>
      </w:r>
      <w:r w:rsidR="00544183">
        <w:t xml:space="preserve">thủ tục </w:t>
      </w:r>
      <w:r w:rsidR="00043EB5">
        <w:t>tái cấu trúc</w:t>
      </w:r>
      <w:r w:rsidR="00544026">
        <w:t xml:space="preserve"> hoặc cả hai, và tiêu chuẩn được sử dụng để xác định </w:t>
      </w:r>
      <w:r w:rsidR="00716832">
        <w:t xml:space="preserve">tình trạng phá sản của </w:t>
      </w:r>
      <w:r w:rsidR="00544026">
        <w:t>một đối tượng vay nợ</w:t>
      </w:r>
      <w:r w:rsidR="0072149F">
        <w:t xml:space="preserve"> </w:t>
      </w:r>
    </w:p>
    <w:p w:rsidR="00CD1587" w:rsidRPr="00657F17" w:rsidRDefault="00016235" w:rsidP="00657F17">
      <w:pPr>
        <w:numPr>
          <w:ilvl w:val="0"/>
          <w:numId w:val="2"/>
        </w:numPr>
        <w:shd w:val="clear" w:color="auto" w:fill="FFFFFF" w:themeFill="background1"/>
        <w:ind w:right="2" w:hanging="360"/>
        <w:jc w:val="both"/>
      </w:pPr>
      <w:r w:rsidRPr="00ED2C1C">
        <w:t>Đ</w:t>
      </w:r>
      <w:r w:rsidRPr="0091582C">
        <w:t>iều gì sẽ xảy ra đối với những hợp đồng của một đối tượng va</w:t>
      </w:r>
      <w:r w:rsidR="00526D82" w:rsidRPr="0091582C">
        <w:t xml:space="preserve">y </w:t>
      </w:r>
      <w:r w:rsidRPr="0091582C">
        <w:t>nợ trong quá trình thực hiện thủ</w:t>
      </w:r>
      <w:r>
        <w:t xml:space="preserve"> tục phá sản, có cho phép</w:t>
      </w:r>
      <w:r w:rsidR="005B762F">
        <w:t xml:space="preserve"> </w:t>
      </w:r>
      <w:r w:rsidR="00980D84">
        <w:t xml:space="preserve">cứu </w:t>
      </w:r>
      <w:r w:rsidR="005B762F">
        <w:t>trợ</w:t>
      </w:r>
      <w:r w:rsidR="00980D84">
        <w:t xml:space="preserve"> tài chính</w:t>
      </w:r>
      <w:r w:rsidR="005B762F">
        <w:t xml:space="preserve"> </w:t>
      </w:r>
      <w:r w:rsidR="00526D82">
        <w:t xml:space="preserve">sau khi </w:t>
      </w:r>
      <w:r w:rsidR="005B762F">
        <w:t xml:space="preserve">đã </w:t>
      </w:r>
      <w:r w:rsidR="00526D82">
        <w:t>bắt đầu</w:t>
      </w:r>
      <w:r w:rsidR="005B762F">
        <w:t xml:space="preserve"> thủ tục phá sản</w:t>
      </w:r>
      <w:r>
        <w:t xml:space="preserve"> hay không và </w:t>
      </w:r>
      <w:r w:rsidR="005B762F">
        <w:t>các quyền ư</w:t>
      </w:r>
      <w:r w:rsidR="005B762F" w:rsidRPr="00657F17">
        <w:t>u tiên đ</w:t>
      </w:r>
      <w:r w:rsidR="005B762F">
        <w:t xml:space="preserve">ối với chủ nợ </w:t>
      </w:r>
      <w:r w:rsidR="00A77012">
        <w:t xml:space="preserve">cung cấp cứu trợ tài chính </w:t>
      </w:r>
      <w:r w:rsidR="005B762F">
        <w:t>sau khi đã bắt đầu thủ tục phá sản</w:t>
      </w:r>
      <w:r w:rsidR="0072149F" w:rsidRPr="00657F17">
        <w:t xml:space="preserve"> </w:t>
      </w:r>
    </w:p>
    <w:p w:rsidR="00CD1587" w:rsidRDefault="00526D82" w:rsidP="00657F17">
      <w:pPr>
        <w:numPr>
          <w:ilvl w:val="0"/>
          <w:numId w:val="2"/>
        </w:numPr>
        <w:shd w:val="clear" w:color="auto" w:fill="FFFFFF" w:themeFill="background1"/>
        <w:ind w:right="2" w:hanging="360"/>
        <w:jc w:val="both"/>
      </w:pPr>
      <w:r>
        <w:t xml:space="preserve">Quy trình phê duyệt cho một kế hoạch </w:t>
      </w:r>
      <w:r w:rsidR="00043EB5">
        <w:t xml:space="preserve">tái cấu trúc </w:t>
      </w:r>
      <w:r>
        <w:t>và những yêu đối với kế hoạch đó</w:t>
      </w:r>
      <w:r w:rsidR="0072149F">
        <w:t xml:space="preserve">  </w:t>
      </w:r>
    </w:p>
    <w:p w:rsidR="00CD1587" w:rsidRDefault="00EE1000" w:rsidP="00657F17">
      <w:pPr>
        <w:numPr>
          <w:ilvl w:val="0"/>
          <w:numId w:val="2"/>
        </w:numPr>
        <w:shd w:val="clear" w:color="auto" w:fill="FFFFFF" w:themeFill="background1"/>
        <w:ind w:right="2" w:hanging="360"/>
        <w:jc w:val="both"/>
      </w:pPr>
      <w:r>
        <w:t xml:space="preserve">Phạm vi tham gia vào thủ tục phá sản của </w:t>
      </w:r>
      <w:r w:rsidR="00043EB5">
        <w:t xml:space="preserve">nhóm </w:t>
      </w:r>
      <w:r>
        <w:t xml:space="preserve">các chủ nợ, và </w:t>
      </w:r>
      <w:r w:rsidR="00877381">
        <w:t xml:space="preserve">quyền khởi kiện và phản đối của </w:t>
      </w:r>
      <w:r>
        <w:t xml:space="preserve">từng chủ nợ đơn lẻ </w:t>
      </w:r>
      <w:r w:rsidR="00877381">
        <w:t>đối với</w:t>
      </w:r>
      <w:r>
        <w:t xml:space="preserve"> quyết định ảnh hưởng tới quyền lợi của họ</w:t>
      </w:r>
      <w:r w:rsidR="0072149F">
        <w:t xml:space="preserve"> </w:t>
      </w:r>
    </w:p>
    <w:p w:rsidR="00CD1587" w:rsidRDefault="0072149F" w:rsidP="0091582C">
      <w:pPr>
        <w:shd w:val="clear" w:color="auto" w:fill="FFFFFF" w:themeFill="background1"/>
        <w:spacing w:after="0" w:line="259" w:lineRule="auto"/>
        <w:ind w:left="2" w:firstLine="0"/>
        <w:jc w:val="both"/>
      </w:pPr>
      <w:r>
        <w:t xml:space="preserve"> </w:t>
      </w:r>
    </w:p>
    <w:p w:rsidR="00CD1587" w:rsidRDefault="00EE1000" w:rsidP="0091582C">
      <w:pPr>
        <w:shd w:val="clear" w:color="auto" w:fill="FFFFFF" w:themeFill="background1"/>
        <w:ind w:left="-4" w:right="2"/>
        <w:jc w:val="both"/>
      </w:pPr>
      <w:proofErr w:type="gramStart"/>
      <w:r>
        <w:t xml:space="preserve">Năm nay, tên của bộ chỉ số về bảo vệ chủ đầu tư đã được thay đổi </w:t>
      </w:r>
      <w:r w:rsidR="00043EB5">
        <w:t xml:space="preserve">thành bảo vệ nhà đầu tư nhỏ lẻ </w:t>
      </w:r>
      <w:r>
        <w:t xml:space="preserve">để phản ánh </w:t>
      </w:r>
      <w:r w:rsidR="00043EB5">
        <w:t xml:space="preserve">đúng bản chất </w:t>
      </w:r>
      <w:r>
        <w:t>của chỉ số này.</w:t>
      </w:r>
      <w:proofErr w:type="gramEnd"/>
      <w:r>
        <w:t xml:space="preserve">  </w:t>
      </w:r>
      <w:r w:rsidR="001336D8">
        <w:t xml:space="preserve">Phạm </w:t>
      </w:r>
      <w:proofErr w:type="gramStart"/>
      <w:r w:rsidR="001336D8">
        <w:t>vi</w:t>
      </w:r>
      <w:proofErr w:type="gramEnd"/>
      <w:r w:rsidR="001336D8">
        <w:t xml:space="preserve"> của chỉ số cũng đã được </w:t>
      </w:r>
      <w:r w:rsidR="00C647A7">
        <w:t>mở</w:t>
      </w:r>
      <w:r w:rsidR="001336D8">
        <w:t xml:space="preserve"> rộng thông qua một chỉ số mới </w:t>
      </w:r>
      <w:r w:rsidR="00C647A7">
        <w:t>được bổ sung</w:t>
      </w:r>
      <w:r w:rsidR="001336D8">
        <w:t xml:space="preserve">– chỉ số </w:t>
      </w:r>
      <w:r w:rsidR="00D51F5F">
        <w:t>phạm vi</w:t>
      </w:r>
      <w:r w:rsidR="001336D8">
        <w:t xml:space="preserve"> quản trị cổ đông</w:t>
      </w:r>
      <w:r w:rsidR="0072149F">
        <w:t xml:space="preserve">. </w:t>
      </w:r>
      <w:r w:rsidR="00D51F5F">
        <w:t>Chỉ số mới này bao gồm 3 lĩnh vực chính</w:t>
      </w:r>
      <w:r w:rsidR="0072149F">
        <w:t xml:space="preserve">:  </w:t>
      </w:r>
    </w:p>
    <w:p w:rsidR="00CD1587" w:rsidRDefault="00D51F5F" w:rsidP="0091582C">
      <w:pPr>
        <w:numPr>
          <w:ilvl w:val="0"/>
          <w:numId w:val="2"/>
        </w:numPr>
        <w:shd w:val="clear" w:color="auto" w:fill="FFFFFF" w:themeFill="background1"/>
        <w:ind w:right="2" w:hanging="360"/>
        <w:jc w:val="both"/>
      </w:pPr>
      <w:r>
        <w:t>Quyền và vai trò của cổ đông trong những quyết định quan trọng của công ty</w:t>
      </w:r>
      <w:r w:rsidR="0072149F">
        <w:t xml:space="preserve"> </w:t>
      </w:r>
    </w:p>
    <w:p w:rsidR="00CD1587" w:rsidRDefault="00D51F5F" w:rsidP="0091582C">
      <w:pPr>
        <w:numPr>
          <w:ilvl w:val="0"/>
          <w:numId w:val="2"/>
        </w:numPr>
        <w:shd w:val="clear" w:color="auto" w:fill="FFFFFF" w:themeFill="background1"/>
        <w:ind w:right="2" w:hanging="360"/>
        <w:jc w:val="both"/>
      </w:pPr>
      <w:r>
        <w:t>Cơ cấu quản trị</w:t>
      </w:r>
      <w:r w:rsidR="0072149F">
        <w:t>—</w:t>
      </w:r>
      <w:r>
        <w:t xml:space="preserve"> mức độ mà </w:t>
      </w:r>
      <w:r w:rsidR="001C190C">
        <w:t xml:space="preserve">tại đó </w:t>
      </w:r>
      <w:r>
        <w:t xml:space="preserve">luật </w:t>
      </w:r>
      <w:r w:rsidR="00A90D32">
        <w:t>yêu cầu</w:t>
      </w:r>
      <w:r w:rsidR="004E40CA">
        <w:t xml:space="preserve"> sự</w:t>
      </w:r>
      <w:r>
        <w:t xml:space="preserve"> </w:t>
      </w:r>
      <w:r w:rsidR="00043EB5">
        <w:t xml:space="preserve">tách biệt </w:t>
      </w:r>
      <w:r>
        <w:t xml:space="preserve">giữa </w:t>
      </w:r>
      <w:r w:rsidR="00043EB5">
        <w:t xml:space="preserve">một số </w:t>
      </w:r>
      <w:r>
        <w:t xml:space="preserve">các </w:t>
      </w:r>
      <w:r w:rsidR="00E132DA">
        <w:t>bộ phận</w:t>
      </w:r>
      <w:r>
        <w:t xml:space="preserve"> của công ty để giảm t</w:t>
      </w:r>
      <w:r w:rsidR="00A90D32">
        <w:t>h</w:t>
      </w:r>
      <w:r>
        <w:t xml:space="preserve">iểu </w:t>
      </w:r>
      <w:r w:rsidR="00043EB5">
        <w:t xml:space="preserve">khả năng </w:t>
      </w:r>
      <w:r>
        <w:t xml:space="preserve">mâu thuẫn </w:t>
      </w:r>
      <w:r w:rsidR="00E132DA">
        <w:t>trong</w:t>
      </w:r>
      <w:r>
        <w:t xml:space="preserve"> công ty</w:t>
      </w:r>
      <w:r w:rsidR="0072149F">
        <w:t xml:space="preserve"> </w:t>
      </w:r>
    </w:p>
    <w:p w:rsidR="00CD1587" w:rsidRDefault="00E132DA" w:rsidP="0091582C">
      <w:pPr>
        <w:numPr>
          <w:ilvl w:val="0"/>
          <w:numId w:val="2"/>
        </w:numPr>
        <w:shd w:val="clear" w:color="auto" w:fill="FFFFFF" w:themeFill="background1"/>
        <w:ind w:right="2" w:hanging="360"/>
        <w:jc w:val="both"/>
      </w:pPr>
      <w:r>
        <w:t>Tính minh bạch</w:t>
      </w:r>
      <w:r w:rsidR="0072149F">
        <w:t>—</w:t>
      </w:r>
      <w:r w:rsidR="006D4134">
        <w:t xml:space="preserve"> mức độ </w:t>
      </w:r>
      <w:r w:rsidR="00043EB5">
        <w:t xml:space="preserve">thông tin tài chính </w:t>
      </w:r>
      <w:r w:rsidR="00660977">
        <w:t xml:space="preserve">mà </w:t>
      </w:r>
      <w:r w:rsidR="006D4134">
        <w:t xml:space="preserve">các công ty </w:t>
      </w:r>
      <w:r w:rsidR="00043EB5">
        <w:t xml:space="preserve">buộc </w:t>
      </w:r>
      <w:r w:rsidR="006D4134">
        <w:t xml:space="preserve">phải công bố </w:t>
      </w:r>
    </w:p>
    <w:p w:rsidR="00CD1587" w:rsidRDefault="00764D11" w:rsidP="0091582C">
      <w:pPr>
        <w:numPr>
          <w:ilvl w:val="0"/>
          <w:numId w:val="2"/>
        </w:numPr>
        <w:shd w:val="clear" w:color="auto" w:fill="FFFFFF" w:themeFill="background1"/>
        <w:ind w:right="2" w:hanging="360"/>
        <w:jc w:val="both"/>
      </w:pPr>
      <w:r>
        <w:t>Phân bổ chi phí pháp lý</w:t>
      </w:r>
      <w:r w:rsidR="0072149F">
        <w:t>—</w:t>
      </w:r>
      <w:r>
        <w:t xml:space="preserve"> mức độ </w:t>
      </w:r>
      <w:proofErr w:type="gramStart"/>
      <w:r w:rsidR="00043EB5">
        <w:t>thu</w:t>
      </w:r>
      <w:proofErr w:type="gramEnd"/>
      <w:r w:rsidR="00043EB5">
        <w:t xml:space="preserve"> hồi </w:t>
      </w:r>
      <w:r>
        <w:t xml:space="preserve">chi phí liên quan tới </w:t>
      </w:r>
      <w:r w:rsidR="002A1584">
        <w:t>kiện</w:t>
      </w:r>
      <w:r>
        <w:t xml:space="preserve"> </w:t>
      </w:r>
      <w:r w:rsidR="00043EB5">
        <w:t xml:space="preserve">cáo </w:t>
      </w:r>
      <w:r>
        <w:t xml:space="preserve">do các cổ đông </w:t>
      </w:r>
      <w:r w:rsidR="00043EB5">
        <w:t xml:space="preserve">đứng tên </w:t>
      </w:r>
      <w:r w:rsidR="002A1584">
        <w:t>từ công ty</w:t>
      </w:r>
      <w:r w:rsidR="00043EB5">
        <w:t>,</w:t>
      </w:r>
      <w:r w:rsidR="002A1584">
        <w:t xml:space="preserve"> hay </w:t>
      </w:r>
      <w:r w:rsidR="00043EB5">
        <w:t xml:space="preserve">khả năng </w:t>
      </w:r>
      <w:r w:rsidR="00DD0F46">
        <w:t>thanh toán</w:t>
      </w:r>
      <w:r w:rsidR="002A1584">
        <w:t xml:space="preserve"> các chi phí </w:t>
      </w:r>
      <w:r w:rsidR="00043EB5">
        <w:t xml:space="preserve">đối với một </w:t>
      </w:r>
      <w:r w:rsidR="002A1584">
        <w:t>vụ kiện</w:t>
      </w:r>
      <w:r w:rsidR="00043EB5">
        <w:t xml:space="preserve"> thành công</w:t>
      </w:r>
      <w:r w:rsidR="002A1584">
        <w:t>.</w:t>
      </w:r>
      <w:r w:rsidR="0072149F">
        <w:t xml:space="preserve"> </w:t>
      </w:r>
    </w:p>
    <w:p w:rsidR="00CD1587" w:rsidRDefault="0072149F" w:rsidP="0091582C">
      <w:pPr>
        <w:shd w:val="clear" w:color="auto" w:fill="FFFFFF" w:themeFill="background1"/>
        <w:spacing w:after="0" w:line="259" w:lineRule="auto"/>
        <w:ind w:left="2" w:firstLine="0"/>
        <w:jc w:val="both"/>
      </w:pPr>
      <w:r>
        <w:t xml:space="preserve"> </w:t>
      </w:r>
      <w:r w:rsidR="00043EB5">
        <w:t xml:space="preserve"> </w:t>
      </w:r>
    </w:p>
    <w:p w:rsidR="00CD1587" w:rsidRDefault="00CB1E9E" w:rsidP="0091582C">
      <w:pPr>
        <w:shd w:val="clear" w:color="auto" w:fill="FFFFFF" w:themeFill="background1"/>
        <w:ind w:left="-4" w:right="2"/>
        <w:jc w:val="both"/>
      </w:pPr>
      <w:proofErr w:type="gramStart"/>
      <w:r>
        <w:t xml:space="preserve">Chỉ số tiếp cận tín dụng cũng được mở rộng để bao </w:t>
      </w:r>
      <w:r w:rsidR="00DD0F46">
        <w:t>quát</w:t>
      </w:r>
      <w:r>
        <w:t xml:space="preserve"> thêm những thông lệ tốt hơn.</w:t>
      </w:r>
      <w:proofErr w:type="gramEnd"/>
      <w:r>
        <w:t xml:space="preserve"> Chỉ số về sức mạn</w:t>
      </w:r>
      <w:r w:rsidR="00DD0F46">
        <w:t>h</w:t>
      </w:r>
      <w:r>
        <w:t xml:space="preserve"> của các quyền pháp lý được tăng từ 10 lên 12 điểm với những </w:t>
      </w:r>
      <w:r w:rsidR="00043EB5">
        <w:t>điểm</w:t>
      </w:r>
      <w:r>
        <w:t xml:space="preserve"> mới được lựa chọn dựa trên </w:t>
      </w:r>
      <w:r w:rsidR="00A45F76">
        <w:t xml:space="preserve">nhiều </w:t>
      </w:r>
      <w:r>
        <w:t>cơ sở</w:t>
      </w:r>
      <w:r w:rsidR="00A45F76">
        <w:t>,</w:t>
      </w:r>
      <w:r>
        <w:t xml:space="preserve"> trong đó có </w:t>
      </w:r>
      <w:r>
        <w:rPr>
          <w:i/>
        </w:rPr>
        <w:t xml:space="preserve">Hướng dẫn pháp lý về Giao dịch </w:t>
      </w:r>
      <w:r w:rsidR="00DD6596">
        <w:rPr>
          <w:i/>
        </w:rPr>
        <w:t xml:space="preserve">có bảo </w:t>
      </w:r>
      <w:r>
        <w:rPr>
          <w:i/>
        </w:rPr>
        <w:t xml:space="preserve">đảm </w:t>
      </w:r>
      <w:r>
        <w:t>của UNCITRAL</w:t>
      </w:r>
      <w:r w:rsidR="0072149F">
        <w:t xml:space="preserve">. </w:t>
      </w:r>
      <w:proofErr w:type="gramStart"/>
      <w:r>
        <w:t>Một trong những điểm mới</w:t>
      </w:r>
      <w:r w:rsidR="00DD6596">
        <w:t xml:space="preserve"> đó</w:t>
      </w:r>
      <w:r>
        <w:t xml:space="preserve"> được </w:t>
      </w:r>
      <w:r w:rsidR="00DD6596">
        <w:t>tính</w:t>
      </w:r>
      <w:r>
        <w:t xml:space="preserve"> cho các nền kinh tế </w:t>
      </w:r>
      <w:r w:rsidR="00DD6596">
        <w:t>sở hữu</w:t>
      </w:r>
      <w:r>
        <w:t xml:space="preserve"> một hệ thống </w:t>
      </w:r>
      <w:r w:rsidR="00DD6596">
        <w:t xml:space="preserve">tích hợp các </w:t>
      </w:r>
      <w:r>
        <w:t xml:space="preserve">giao dịch </w:t>
      </w:r>
      <w:r w:rsidR="00DD6596">
        <w:t xml:space="preserve">có bảo </w:t>
      </w:r>
      <w:r>
        <w:t>đảm</w:t>
      </w:r>
      <w:r w:rsidR="0072149F">
        <w:t>.</w:t>
      </w:r>
      <w:proofErr w:type="gramEnd"/>
      <w:r w:rsidR="0072149F">
        <w:t xml:space="preserve"> </w:t>
      </w:r>
      <w:proofErr w:type="gramStart"/>
      <w:r w:rsidR="00A64EB2">
        <w:t xml:space="preserve">Những điểm mới khác được </w:t>
      </w:r>
      <w:r w:rsidR="00DD6596">
        <w:t>tính</w:t>
      </w:r>
      <w:r w:rsidR="00A64EB2">
        <w:t xml:space="preserve"> cho việc có một hệ thống đăng ký thế chấp hoạt động </w:t>
      </w:r>
      <w:r w:rsidR="005D79F0">
        <w:t>hiệu quả</w:t>
      </w:r>
      <w:r w:rsidR="0072149F">
        <w:t xml:space="preserve">, </w:t>
      </w:r>
      <w:r w:rsidR="00A64EB2">
        <w:t xml:space="preserve">được xác định bằng một số đặc </w:t>
      </w:r>
      <w:r w:rsidR="00A45F76">
        <w:t>điểm</w:t>
      </w:r>
      <w:r w:rsidR="0072149F">
        <w:t xml:space="preserve"> (</w:t>
      </w:r>
      <w:r w:rsidR="00A64EB2">
        <w:t xml:space="preserve">như </w:t>
      </w:r>
      <w:r w:rsidR="00A45F76">
        <w:t xml:space="preserve">có </w:t>
      </w:r>
      <w:r w:rsidR="00A64EB2">
        <w:t xml:space="preserve">những đặc </w:t>
      </w:r>
      <w:r w:rsidR="00DD6596">
        <w:t>tính</w:t>
      </w:r>
      <w:r w:rsidR="00A64EB2">
        <w:t xml:space="preserve"> hiện đại, dựa trên thông báo và bao </w:t>
      </w:r>
      <w:r w:rsidR="005D79F0">
        <w:t>quát</w:t>
      </w:r>
      <w:r w:rsidR="00A64EB2">
        <w:t xml:space="preserve"> t</w:t>
      </w:r>
      <w:r w:rsidR="005D79F0">
        <w:t>ất cả</w:t>
      </w:r>
      <w:r w:rsidR="00A64EB2">
        <w:t xml:space="preserve"> các giao dịch </w:t>
      </w:r>
      <w:r w:rsidR="006D6AA3">
        <w:t xml:space="preserve">có </w:t>
      </w:r>
      <w:r w:rsidR="00A64EB2">
        <w:t>bảo</w:t>
      </w:r>
      <w:r w:rsidR="006D6AA3">
        <w:t xml:space="preserve"> đảm</w:t>
      </w:r>
      <w:r w:rsidR="00A64EB2">
        <w:t>)</w:t>
      </w:r>
      <w:r w:rsidR="0072149F">
        <w:t>.</w:t>
      </w:r>
      <w:proofErr w:type="gramEnd"/>
      <w:r w:rsidR="0072149F">
        <w:t xml:space="preserve"> </w:t>
      </w:r>
      <w:r w:rsidR="00A64EB2">
        <w:t xml:space="preserve">Chỉ số chiều sâu của thông tin tín dụng được </w:t>
      </w:r>
      <w:r w:rsidR="00FB6A83">
        <w:t>tăng</w:t>
      </w:r>
      <w:r w:rsidR="00A64EB2">
        <w:t xml:space="preserve"> từ 6 lên 8 điểm</w:t>
      </w:r>
      <w:r w:rsidR="0072149F">
        <w:t xml:space="preserve">. </w:t>
      </w:r>
      <w:r w:rsidR="00A64EB2">
        <w:t xml:space="preserve">Một trong số những điểm mới </w:t>
      </w:r>
      <w:r w:rsidR="00FB6A83">
        <w:t>được</w:t>
      </w:r>
      <w:r w:rsidR="00A64EB2">
        <w:t xml:space="preserve"> </w:t>
      </w:r>
      <w:r w:rsidR="005D79F0">
        <w:t>tính</w:t>
      </w:r>
      <w:r w:rsidR="00A64EB2">
        <w:t xml:space="preserve"> cho các nền kinh tế </w:t>
      </w:r>
      <w:r w:rsidR="005D79F0">
        <w:t>có khả năng</w:t>
      </w:r>
      <w:r w:rsidR="00A64EB2">
        <w:t xml:space="preserve"> tiếp cận thông tin tín dụng thông qua một nền tảng trực tuyến hoặc thông qua </w:t>
      </w:r>
      <w:r w:rsidR="00A45F76">
        <w:t xml:space="preserve">hệ thống </w:t>
      </w:r>
      <w:r w:rsidR="00A64EB2">
        <w:t xml:space="preserve">kết nối giữa các thể chế tài chính và nhà cung cấp dịch vụ báo cáo tín dụng.  </w:t>
      </w:r>
      <w:proofErr w:type="gramStart"/>
      <w:r w:rsidR="00FB6A83">
        <w:t xml:space="preserve">Một điểm mới khác được </w:t>
      </w:r>
      <w:r w:rsidR="005D79F0">
        <w:t xml:space="preserve">tính </w:t>
      </w:r>
      <w:r w:rsidR="00FB6A83">
        <w:t xml:space="preserve">cho những nền kinh tế có </w:t>
      </w:r>
      <w:r w:rsidR="005D79F0">
        <w:t xml:space="preserve">đánh giá rủi ro </w:t>
      </w:r>
      <w:r w:rsidR="00FB6A83">
        <w:t xml:space="preserve">tín dụng dựa </w:t>
      </w:r>
      <w:r w:rsidR="005D79F0">
        <w:t>vào</w:t>
      </w:r>
      <w:r w:rsidR="00FB6A83">
        <w:t xml:space="preserve"> cơ quan thông tin tín dụng hoặc dữ liệu đăng ký tín dụng</w:t>
      </w:r>
      <w:r w:rsidR="0072149F">
        <w:t>.</w:t>
      </w:r>
      <w:proofErr w:type="gramEnd"/>
      <w:r w:rsidR="0072149F">
        <w:t xml:space="preserve"> </w:t>
      </w:r>
      <w:proofErr w:type="gramStart"/>
      <w:r w:rsidR="00FB6A83">
        <w:t xml:space="preserve">Ngoài ra, chỉ có những cơ quan đăng ký tín dụng hoặc thông tin tín dụng </w:t>
      </w:r>
      <w:r w:rsidR="00FD618E">
        <w:t xml:space="preserve">bao quát </w:t>
      </w:r>
      <w:r w:rsidR="00FB6A83">
        <w:t xml:space="preserve">ít nhất 5% số dân ở độ tuổi trưởng thành </w:t>
      </w:r>
      <w:r w:rsidR="00A45F76">
        <w:t xml:space="preserve">mới </w:t>
      </w:r>
      <w:r w:rsidR="00FB6A83">
        <w:t xml:space="preserve">được </w:t>
      </w:r>
      <w:r w:rsidR="00A45F76">
        <w:t xml:space="preserve">tính </w:t>
      </w:r>
      <w:r w:rsidR="00FB6A83">
        <w:t>điểm.</w:t>
      </w:r>
      <w:proofErr w:type="gramEnd"/>
      <w:r w:rsidR="00FB6A83">
        <w:t xml:space="preserve"> </w:t>
      </w:r>
    </w:p>
    <w:p w:rsidR="00CD1587" w:rsidRDefault="0072149F" w:rsidP="0091582C">
      <w:pPr>
        <w:shd w:val="clear" w:color="auto" w:fill="FFFFFF" w:themeFill="background1"/>
        <w:spacing w:after="0" w:line="259" w:lineRule="auto"/>
        <w:ind w:left="1" w:firstLine="0"/>
        <w:jc w:val="both"/>
      </w:pPr>
      <w:r>
        <w:t xml:space="preserve"> </w:t>
      </w:r>
    </w:p>
    <w:p w:rsidR="00CD1587" w:rsidRDefault="00355E50" w:rsidP="0091582C">
      <w:pPr>
        <w:shd w:val="clear" w:color="auto" w:fill="FFFFFF" w:themeFill="background1"/>
        <w:ind w:left="-4" w:right="2"/>
        <w:jc w:val="both"/>
      </w:pPr>
      <w:r>
        <w:t>Theo kế hoạch</w:t>
      </w:r>
      <w:r w:rsidR="00381008">
        <w:t xml:space="preserve"> trong tương lại của báo cáo </w:t>
      </w:r>
      <w:r w:rsidR="00381008">
        <w:rPr>
          <w:i/>
        </w:rPr>
        <w:t>Môi trường kinh doanh</w:t>
      </w:r>
      <w:r>
        <w:rPr>
          <w:i/>
        </w:rPr>
        <w:t xml:space="preserve">, </w:t>
      </w:r>
      <w:r>
        <w:t>5 bộ chỉ số nữa sẽ được mở rộng bao gồm: xin cấp phép xây dựng, kết nối điện, đăng ký tài sản, nộp thuế và thực thi hợp đồng</w:t>
      </w:r>
      <w:r w:rsidR="0072149F">
        <w:t xml:space="preserve">.  </w:t>
      </w:r>
    </w:p>
    <w:p w:rsidR="00CD1587" w:rsidRDefault="0072149F" w:rsidP="0091582C">
      <w:pPr>
        <w:shd w:val="clear" w:color="auto" w:fill="FFFFFF" w:themeFill="background1"/>
        <w:spacing w:after="0" w:line="259" w:lineRule="auto"/>
        <w:ind w:left="1" w:firstLine="0"/>
        <w:jc w:val="both"/>
      </w:pPr>
      <w:r>
        <w:t xml:space="preserve"> </w:t>
      </w:r>
    </w:p>
    <w:p w:rsidR="00CD1587" w:rsidRDefault="0072149F" w:rsidP="0091582C">
      <w:pPr>
        <w:shd w:val="clear" w:color="auto" w:fill="FFFFFF" w:themeFill="background1"/>
        <w:spacing w:after="0" w:line="259" w:lineRule="auto"/>
        <w:ind w:left="371" w:hanging="10"/>
        <w:jc w:val="both"/>
      </w:pPr>
      <w:r>
        <w:rPr>
          <w:b/>
        </w:rPr>
        <w:t xml:space="preserve">3- </w:t>
      </w:r>
      <w:r w:rsidR="00361F0F">
        <w:rPr>
          <w:b/>
        </w:rPr>
        <w:t xml:space="preserve">Xếp loại tổng hợp dựa trên khoảng cách tới điểm </w:t>
      </w:r>
      <w:r w:rsidR="00A45F76">
        <w:rPr>
          <w:b/>
        </w:rPr>
        <w:t>tốt</w:t>
      </w:r>
      <w:r w:rsidR="00361F0F">
        <w:rPr>
          <w:b/>
        </w:rPr>
        <w:t xml:space="preserve"> nhất</w:t>
      </w:r>
      <w:r>
        <w:rPr>
          <w:b/>
        </w:rPr>
        <w:t xml:space="preserve">: </w:t>
      </w:r>
    </w:p>
    <w:p w:rsidR="00CD1587" w:rsidRDefault="00361F0F" w:rsidP="0091582C">
      <w:pPr>
        <w:shd w:val="clear" w:color="auto" w:fill="FFFFFF" w:themeFill="background1"/>
        <w:ind w:left="-4" w:right="2"/>
        <w:jc w:val="both"/>
      </w:pPr>
      <w:proofErr w:type="gramStart"/>
      <w:r>
        <w:t xml:space="preserve">Xếp hạng môi trường kinh doanh thuận lợi hiện nay </w:t>
      </w:r>
      <w:r w:rsidR="00A45F76">
        <w:t xml:space="preserve">cũng </w:t>
      </w:r>
      <w:r>
        <w:t>dựa trên khoảng cách tới điểm cao nhất.</w:t>
      </w:r>
      <w:proofErr w:type="gramEnd"/>
      <w:r>
        <w:t xml:space="preserve"> </w:t>
      </w:r>
      <w:r>
        <w:rPr>
          <w:szCs w:val="20"/>
        </w:rPr>
        <w:t xml:space="preserve">Cách đo này </w:t>
      </w:r>
      <w:r w:rsidR="00F65002">
        <w:rPr>
          <w:szCs w:val="20"/>
        </w:rPr>
        <w:t>cho biết</w:t>
      </w:r>
      <w:r>
        <w:rPr>
          <w:szCs w:val="20"/>
        </w:rPr>
        <w:t xml:space="preserve"> khoảng cách </w:t>
      </w:r>
      <w:r w:rsidR="00F65002">
        <w:rPr>
          <w:szCs w:val="20"/>
        </w:rPr>
        <w:t xml:space="preserve">từ </w:t>
      </w:r>
      <w:r>
        <w:rPr>
          <w:szCs w:val="20"/>
        </w:rPr>
        <w:t xml:space="preserve">mỗi nền kinh tế tới các thông lệ tốt nhất trên thế giới về quy định kinh doanh. </w:t>
      </w:r>
      <w:proofErr w:type="gramStart"/>
      <w:r>
        <w:rPr>
          <w:szCs w:val="20"/>
        </w:rPr>
        <w:t>Điểm số cao cho thấy một môi trường kinh doanh hiệu quả và thể chế pháp lý mạnh mẽ hơn</w:t>
      </w:r>
      <w:r w:rsidRPr="00151830">
        <w:rPr>
          <w:szCs w:val="20"/>
        </w:rPr>
        <w:t>.</w:t>
      </w:r>
      <w:proofErr w:type="gramEnd"/>
      <w:r w:rsidR="0072149F">
        <w:t xml:space="preserve">  </w:t>
      </w:r>
    </w:p>
    <w:p w:rsidR="00CD1587" w:rsidRDefault="0072149F" w:rsidP="0091582C">
      <w:pPr>
        <w:shd w:val="clear" w:color="auto" w:fill="FFFFFF" w:themeFill="background1"/>
        <w:spacing w:after="0" w:line="259" w:lineRule="auto"/>
        <w:ind w:left="1" w:firstLine="0"/>
        <w:jc w:val="both"/>
      </w:pPr>
      <w:r>
        <w:t xml:space="preserve"> </w:t>
      </w:r>
    </w:p>
    <w:p w:rsidR="00CD1587" w:rsidRDefault="007525C3" w:rsidP="0091582C">
      <w:pPr>
        <w:shd w:val="clear" w:color="auto" w:fill="FFFFFF" w:themeFill="background1"/>
        <w:spacing w:after="0" w:line="259" w:lineRule="auto"/>
        <w:ind w:left="-3" w:hanging="10"/>
        <w:jc w:val="both"/>
      </w:pPr>
      <w:proofErr w:type="gramStart"/>
      <w:r>
        <w:rPr>
          <w:b/>
        </w:rPr>
        <w:t>Khoảng cách tới điểm cao nhất là gì</w:t>
      </w:r>
      <w:r w:rsidR="0072149F">
        <w:rPr>
          <w:b/>
        </w:rPr>
        <w:t>?</w:t>
      </w:r>
      <w:proofErr w:type="gramEnd"/>
      <w:r w:rsidR="0072149F">
        <w:rPr>
          <w:b/>
        </w:rPr>
        <w:t xml:space="preserve"> </w:t>
      </w:r>
    </w:p>
    <w:p w:rsidR="00CD1587" w:rsidRDefault="007E7ABF" w:rsidP="0091582C">
      <w:pPr>
        <w:shd w:val="clear" w:color="auto" w:fill="FFFFFF" w:themeFill="background1"/>
        <w:ind w:left="-4" w:right="2"/>
        <w:jc w:val="both"/>
      </w:pPr>
      <w:r w:rsidRPr="007E7ABF">
        <w:t xml:space="preserve">Khoảng cách tới điểm cao nhất </w:t>
      </w:r>
      <w:r>
        <w:t xml:space="preserve">thể hiện khoảng cách </w:t>
      </w:r>
      <w:r w:rsidR="00F65002">
        <w:t xml:space="preserve">từ </w:t>
      </w:r>
      <w:r w:rsidR="00315AAE">
        <w:t>kết quả hoạt động trong</w:t>
      </w:r>
      <w:r w:rsidR="00F65002">
        <w:t xml:space="preserve"> </w:t>
      </w:r>
      <w:r w:rsidR="00315AAE">
        <w:t xml:space="preserve">quy định kinh doanh </w:t>
      </w:r>
      <w:r w:rsidR="00F65002">
        <w:t>của một nền kinh tế tới</w:t>
      </w:r>
      <w:r w:rsidR="00315AAE">
        <w:t xml:space="preserve"> một tiêu chuẩn của thông lệ tốt nhất thông qua 31 chỉ số cho 10 chủ đề của </w:t>
      </w:r>
      <w:r w:rsidR="00315AAE">
        <w:rPr>
          <w:i/>
        </w:rPr>
        <w:t xml:space="preserve">Môi trường kinh doanh </w:t>
      </w:r>
      <w:r w:rsidR="0072149F">
        <w:t>(</w:t>
      </w:r>
      <w:r w:rsidR="004527A8">
        <w:t>không bao gồm các chỉ số về quy định đối với thị trường lao động)</w:t>
      </w:r>
      <w:r w:rsidR="0072149F">
        <w:t xml:space="preserve">. </w:t>
      </w:r>
      <w:r w:rsidR="004527A8">
        <w:t xml:space="preserve">Ví dụ như để bắt đầu một hoạt động kinh doanh, Ca-na-đa và Niu-di-lân yêu cầu thực hiện một số lượng thủ tục ít nhất </w:t>
      </w:r>
      <w:r w:rsidR="0072149F">
        <w:t>(</w:t>
      </w:r>
      <w:r w:rsidR="00833766">
        <w:t>0</w:t>
      </w:r>
      <w:r w:rsidR="0072149F">
        <w:t xml:space="preserve">1), </w:t>
      </w:r>
      <w:r w:rsidR="004527A8">
        <w:t xml:space="preserve">và </w:t>
      </w:r>
      <w:r w:rsidR="00F65002">
        <w:t xml:space="preserve">để hoàn thành thủ tục đó </w:t>
      </w:r>
      <w:r w:rsidR="004527A8">
        <w:t xml:space="preserve">Niu-di-lân cần lượng thời gian ngắn nhất </w:t>
      </w:r>
      <w:r w:rsidR="0072149F">
        <w:t>(0</w:t>
      </w:r>
      <w:proofErr w:type="gramStart"/>
      <w:r w:rsidR="004527A8">
        <w:t>,</w:t>
      </w:r>
      <w:r w:rsidR="0072149F">
        <w:t>5</w:t>
      </w:r>
      <w:proofErr w:type="gramEnd"/>
      <w:r w:rsidR="0072149F">
        <w:t xml:space="preserve"> </w:t>
      </w:r>
      <w:r w:rsidR="004527A8">
        <w:t>ngày</w:t>
      </w:r>
      <w:r w:rsidR="00833766">
        <w:t xml:space="preserve">). </w:t>
      </w:r>
      <w:proofErr w:type="gramStart"/>
      <w:r w:rsidR="00833766">
        <w:t>Xlô-v</w:t>
      </w:r>
      <w:r w:rsidR="00E36D36">
        <w:t>ê</w:t>
      </w:r>
      <w:r w:rsidR="00833766">
        <w:t xml:space="preserve">-ni-a có chi phí thấp nhất </w:t>
      </w:r>
      <w:r w:rsidR="0072149F">
        <w:t xml:space="preserve">(0), </w:t>
      </w:r>
      <w:r w:rsidR="00833766">
        <w:t>Úc và Cô-lôm-bi-a cùng 110 nền kinh tế khác không có yêu cầu về số vốn đã góp tối thiểu</w:t>
      </w:r>
      <w:r w:rsidR="0072149F">
        <w:t>.</w:t>
      </w:r>
      <w:proofErr w:type="gramEnd"/>
      <w:r w:rsidR="0072149F">
        <w:t xml:space="preserve">  </w:t>
      </w:r>
    </w:p>
    <w:p w:rsidR="00CD1587" w:rsidRDefault="0072149F" w:rsidP="0091582C">
      <w:pPr>
        <w:shd w:val="clear" w:color="auto" w:fill="FFFFFF" w:themeFill="background1"/>
        <w:spacing w:after="0" w:line="259" w:lineRule="auto"/>
        <w:ind w:left="1" w:firstLine="0"/>
        <w:jc w:val="both"/>
      </w:pPr>
      <w:r>
        <w:t xml:space="preserve"> </w:t>
      </w:r>
    </w:p>
    <w:p w:rsidR="00CD1587" w:rsidRDefault="00F03F62" w:rsidP="0091582C">
      <w:pPr>
        <w:shd w:val="clear" w:color="auto" w:fill="FFFFFF" w:themeFill="background1"/>
        <w:ind w:left="-4" w:right="2"/>
        <w:jc w:val="both"/>
      </w:pPr>
      <w:proofErr w:type="gramStart"/>
      <w:r>
        <w:lastRenderedPageBreak/>
        <w:t>Việc tính toán khoảng cách tới điểm cao nhất cho mỗi nền kinh tế trải qua hai bước chính.</w:t>
      </w:r>
      <w:proofErr w:type="gramEnd"/>
      <w:r>
        <w:t xml:space="preserve"> Thứ nhất, </w:t>
      </w:r>
      <w:r w:rsidR="00463165">
        <w:t xml:space="preserve">các chỉ số đơn lẻ được </w:t>
      </w:r>
      <w:r w:rsidR="00D071BB">
        <w:t xml:space="preserve">quy </w:t>
      </w:r>
      <w:r w:rsidR="00463165">
        <w:t xml:space="preserve">về một đơn vị chung: ngoại trừ tổng mức thuế, mỗi một chỉ số </w:t>
      </w:r>
      <w:r w:rsidR="00463165">
        <w:rPr>
          <w:i/>
        </w:rPr>
        <w:t>y</w:t>
      </w:r>
      <w:r w:rsidR="00463165">
        <w:t xml:space="preserve"> trong 31 chỉ số thành phần được </w:t>
      </w:r>
      <w:r w:rsidR="00AE281B">
        <w:t>định lại</w:t>
      </w:r>
      <w:r w:rsidR="00463165">
        <w:t xml:space="preserve"> tỷ lệ bằng cách sử dụng công thức</w:t>
      </w:r>
      <w:r w:rsidR="0072149F">
        <w:t xml:space="preserve"> (</w:t>
      </w:r>
      <w:r w:rsidR="00463165">
        <w:t xml:space="preserve">điểm </w:t>
      </w:r>
      <w:r w:rsidR="00AE281B">
        <w:t>thấp</w:t>
      </w:r>
      <w:r w:rsidR="00463165">
        <w:t xml:space="preserve"> nhất</w:t>
      </w:r>
      <w:r w:rsidR="0072149F">
        <w:t xml:space="preserve"> − y)/(</w:t>
      </w:r>
      <w:r w:rsidR="00463165">
        <w:t xml:space="preserve">điểm </w:t>
      </w:r>
      <w:r w:rsidR="00AE281B">
        <w:t>thấp</w:t>
      </w:r>
      <w:r w:rsidR="00463165">
        <w:t xml:space="preserve"> nhất</w:t>
      </w:r>
      <w:r w:rsidR="0072149F">
        <w:t xml:space="preserve"> </w:t>
      </w:r>
      <w:r w:rsidR="00463165">
        <w:t>–</w:t>
      </w:r>
      <w:r w:rsidR="0072149F">
        <w:t xml:space="preserve"> </w:t>
      </w:r>
      <w:r w:rsidR="00D071BB">
        <w:t xml:space="preserve">điểm </w:t>
      </w:r>
      <w:r w:rsidR="00463165">
        <w:t>cao nhất</w:t>
      </w:r>
      <w:r w:rsidR="0072149F">
        <w:t xml:space="preserve">), </w:t>
      </w:r>
      <w:r w:rsidR="00463165">
        <w:t xml:space="preserve">với điểm cao nhất thể hiện kết quả thực hiện tốt nhất </w:t>
      </w:r>
      <w:r w:rsidR="00B53377">
        <w:t xml:space="preserve">của </w:t>
      </w:r>
      <w:r w:rsidR="00463165">
        <w:t xml:space="preserve">chỉ số đó trong toàn bộ các nền kinh tế kể từ 2005 hoặc năm thứ 3 </w:t>
      </w:r>
      <w:r w:rsidR="00B53377">
        <w:t xml:space="preserve">dữ liệu cho chỉ số đó được thu thập. Thứ hai, đối với mỗi nền kinh tế, điểm </w:t>
      </w:r>
      <w:r w:rsidR="00D071BB">
        <w:t>cho</w:t>
      </w:r>
      <w:r w:rsidR="00B53377">
        <w:t xml:space="preserve"> mỗi chỉ số được tổng hợp thông qua cách tính</w:t>
      </w:r>
      <w:r w:rsidR="000A7E7D">
        <w:t xml:space="preserve"> trung</w:t>
      </w:r>
      <w:r w:rsidR="00B53377">
        <w:t xml:space="preserve"> bình đơn giản thành một khoảng cách tới điểm cao nhất, trước hết là cho từng chủ đề và sau đó là cho toàn bộ 10 chủ đề: thành lập doanh nghiệp, xin giấp phép xây dựng, kết nối điện, đăng ký tài sản, tiếp cận tín dụng, bảo vệ nhà đầu tư nhỏ, nộp thuế, thương mại quốc tế, thực thi hợp đồng và giải quyết tình trạng phá sản</w:t>
      </w:r>
      <w:r w:rsidR="0072149F">
        <w:t xml:space="preserve">.  </w:t>
      </w:r>
    </w:p>
    <w:p w:rsidR="00CD1587" w:rsidRDefault="0072149F" w:rsidP="0091582C">
      <w:pPr>
        <w:shd w:val="clear" w:color="auto" w:fill="FFFFFF" w:themeFill="background1"/>
        <w:spacing w:after="0" w:line="259" w:lineRule="auto"/>
        <w:ind w:left="1" w:firstLine="0"/>
      </w:pPr>
      <w:r>
        <w:t xml:space="preserve"> </w:t>
      </w:r>
    </w:p>
    <w:p w:rsidR="00CD1587" w:rsidRDefault="00B53377" w:rsidP="0091582C">
      <w:pPr>
        <w:shd w:val="clear" w:color="auto" w:fill="FFFFFF" w:themeFill="background1"/>
        <w:spacing w:after="0" w:line="259" w:lineRule="auto"/>
        <w:ind w:left="-3" w:hanging="10"/>
      </w:pPr>
      <w:proofErr w:type="gramStart"/>
      <w:r>
        <w:rPr>
          <w:b/>
        </w:rPr>
        <w:t xml:space="preserve">Xếp </w:t>
      </w:r>
      <w:r w:rsidR="00A37A1D">
        <w:rPr>
          <w:b/>
        </w:rPr>
        <w:t>hạng</w:t>
      </w:r>
      <w:r>
        <w:rPr>
          <w:b/>
        </w:rPr>
        <w:t xml:space="preserve"> môi trường kinh doanh </w:t>
      </w:r>
      <w:r w:rsidR="00A37A1D">
        <w:rPr>
          <w:b/>
        </w:rPr>
        <w:t xml:space="preserve">thuận lợi </w:t>
      </w:r>
      <w:r>
        <w:rPr>
          <w:b/>
        </w:rPr>
        <w:t>là gì</w:t>
      </w:r>
      <w:r w:rsidR="0072149F">
        <w:rPr>
          <w:b/>
        </w:rPr>
        <w:t>?</w:t>
      </w:r>
      <w:proofErr w:type="gramEnd"/>
      <w:r w:rsidR="0072149F">
        <w:rPr>
          <w:b/>
        </w:rPr>
        <w:t xml:space="preserve"> </w:t>
      </w:r>
    </w:p>
    <w:p w:rsidR="00CD1587" w:rsidRDefault="00DF33A1" w:rsidP="0091582C">
      <w:pPr>
        <w:shd w:val="clear" w:color="auto" w:fill="FFFFFF" w:themeFill="background1"/>
        <w:ind w:left="-4" w:right="2"/>
      </w:pPr>
      <w:proofErr w:type="gramStart"/>
      <w:r>
        <w:t>Mức độ thuận lợi của</w:t>
      </w:r>
      <w:r w:rsidR="00A37A1D">
        <w:t xml:space="preserve"> môi trường kinh doanh</w:t>
      </w:r>
      <w:r>
        <w:t xml:space="preserve"> được xếp </w:t>
      </w:r>
      <w:r w:rsidR="002C6CFA">
        <w:t xml:space="preserve">hạng </w:t>
      </w:r>
      <w:r>
        <w:t>từ 1 đến 189, với 1 là hạng cao nhất.</w:t>
      </w:r>
      <w:proofErr w:type="gramEnd"/>
      <w:r>
        <w:t xml:space="preserve"> </w:t>
      </w:r>
      <w:proofErr w:type="gramStart"/>
      <w:r>
        <w:t xml:space="preserve">Xếp hạng các nền kinh tế được xác định bằng cách </w:t>
      </w:r>
      <w:r w:rsidR="000A7E7D">
        <w:t xml:space="preserve">sắp xếp </w:t>
      </w:r>
      <w:r w:rsidR="00603AB6">
        <w:t>khoảng cách tổng hợp của họ tới điểm cao nhất</w:t>
      </w:r>
      <w:r w:rsidR="0072149F">
        <w:t>.</w:t>
      </w:r>
      <w:proofErr w:type="gramEnd"/>
      <w:r w:rsidR="0072149F">
        <w:t xml:space="preserve"> </w:t>
      </w:r>
      <w:r w:rsidR="00C455A5">
        <w:t>Đối với 11 nền kinh tế</w:t>
      </w:r>
      <w:r w:rsidR="000A7E7D">
        <w:t xml:space="preserve"> được bổ sung </w:t>
      </w:r>
      <w:r w:rsidR="00C455A5">
        <w:t>một thành phố trong báo cáo năm nay, khoảng cách tới điểm cao nhất được tính bằng bình quân gia quyền</w:t>
      </w:r>
      <w:r w:rsidR="00A45F76">
        <w:t xml:space="preserve"> </w:t>
      </w:r>
      <w:r w:rsidR="00C455A5">
        <w:t xml:space="preserve">số </w:t>
      </w:r>
      <w:r w:rsidR="00A45F76">
        <w:t xml:space="preserve">dân </w:t>
      </w:r>
      <w:r w:rsidR="00C455A5">
        <w:t xml:space="preserve">của khoảng cách tới </w:t>
      </w:r>
      <w:r w:rsidR="00B914C1">
        <w:t xml:space="preserve">các </w:t>
      </w:r>
      <w:r w:rsidR="00C455A5">
        <w:t xml:space="preserve">điểm cao nhất cho hai thành phố đó. </w:t>
      </w:r>
      <w:r w:rsidR="0072149F">
        <w:t xml:space="preserve">  </w:t>
      </w:r>
    </w:p>
    <w:p w:rsidR="00CD1587" w:rsidRDefault="0072149F" w:rsidP="0091582C">
      <w:pPr>
        <w:shd w:val="clear" w:color="auto" w:fill="FFFFFF" w:themeFill="background1"/>
        <w:spacing w:after="0" w:line="259" w:lineRule="auto"/>
        <w:ind w:left="2" w:firstLine="0"/>
      </w:pPr>
      <w:r>
        <w:t xml:space="preserve"> </w:t>
      </w:r>
    </w:p>
    <w:p w:rsidR="00CD1587" w:rsidRDefault="00F3030F" w:rsidP="0091582C">
      <w:pPr>
        <w:shd w:val="clear" w:color="auto" w:fill="FFFFFF" w:themeFill="background1"/>
        <w:spacing w:after="0" w:line="259" w:lineRule="auto"/>
        <w:ind w:left="-3" w:hanging="10"/>
      </w:pPr>
      <w:proofErr w:type="gramStart"/>
      <w:r>
        <w:rPr>
          <w:b/>
        </w:rPr>
        <w:t>Tại sao phải có những thay đổi này</w:t>
      </w:r>
      <w:r w:rsidR="0072149F">
        <w:rPr>
          <w:b/>
        </w:rPr>
        <w:t>?</w:t>
      </w:r>
      <w:proofErr w:type="gramEnd"/>
      <w:r w:rsidR="0072149F">
        <w:rPr>
          <w:b/>
        </w:rPr>
        <w:t xml:space="preserve"> </w:t>
      </w:r>
    </w:p>
    <w:p w:rsidR="00CD1587" w:rsidRDefault="00F3030F" w:rsidP="0091582C">
      <w:pPr>
        <w:shd w:val="clear" w:color="auto" w:fill="FFFFFF" w:themeFill="background1"/>
        <w:ind w:left="-4" w:right="2" w:firstLine="0"/>
      </w:pPr>
      <w:proofErr w:type="gramStart"/>
      <w:r>
        <w:t xml:space="preserve">Những thay đổi trong phương pháp luận được áp dụng năm nay </w:t>
      </w:r>
      <w:r w:rsidR="0019723E">
        <w:t>nhằm</w:t>
      </w:r>
      <w:r w:rsidR="00C51AAE">
        <w:t xml:space="preserve"> mục đích</w:t>
      </w:r>
      <w:r w:rsidR="0019723E">
        <w:t xml:space="preserve"> mở rộng việc sử dụng dữ liệu của các nhà hoạch định chính sách và nhà nghiên cứu</w:t>
      </w:r>
      <w:r w:rsidR="0072149F">
        <w:t>.</w:t>
      </w:r>
      <w:proofErr w:type="gramEnd"/>
      <w:r w:rsidR="0072149F">
        <w:t xml:space="preserve"> </w:t>
      </w:r>
      <w:proofErr w:type="gramStart"/>
      <w:r w:rsidR="0019723E">
        <w:t xml:space="preserve">Bằng cách tập trung nhiều hơn vào chất lượng </w:t>
      </w:r>
      <w:r w:rsidR="00C51AAE">
        <w:t>pháp</w:t>
      </w:r>
      <w:r w:rsidR="0019723E">
        <w:t xml:space="preserve"> </w:t>
      </w:r>
      <w:r w:rsidR="00C51AAE">
        <w:t>lý</w:t>
      </w:r>
      <w:r w:rsidR="0019723E">
        <w:t xml:space="preserve">, </w:t>
      </w:r>
      <w:r w:rsidR="00E32FC0">
        <w:t xml:space="preserve">báo cáo </w:t>
      </w:r>
      <w:r w:rsidR="00E32FC0">
        <w:rPr>
          <w:i/>
        </w:rPr>
        <w:t xml:space="preserve">Môi trường kinh doanh </w:t>
      </w:r>
      <w:r w:rsidR="00E32FC0">
        <w:t>sẽ mở ra một lĩnh vực nghiên cứu mới</w:t>
      </w:r>
      <w:r w:rsidR="0072149F">
        <w:t>.</w:t>
      </w:r>
      <w:proofErr w:type="gramEnd"/>
      <w:r w:rsidR="0072149F">
        <w:t xml:space="preserve"> </w:t>
      </w:r>
      <w:r w:rsidR="005E251D">
        <w:t xml:space="preserve">Mục tiêu là giúp </w:t>
      </w:r>
      <w:r w:rsidR="00122918">
        <w:t xml:space="preserve">tăng hiểu biết </w:t>
      </w:r>
      <w:r w:rsidR="005E251D">
        <w:t xml:space="preserve">về tầm quan trọng của chất lượng quy định kinh doanh và mối quan hệ của nó tới hiệu </w:t>
      </w:r>
      <w:r w:rsidR="00C51AAE">
        <w:t>lực pháp lý</w:t>
      </w:r>
      <w:r w:rsidR="005E251D">
        <w:t xml:space="preserve"> và thành quả kinh tế. B</w:t>
      </w:r>
      <w:r w:rsidR="00464E9A">
        <w:t>ằ</w:t>
      </w:r>
      <w:r w:rsidR="005E251D">
        <w:t xml:space="preserve">ng cách </w:t>
      </w:r>
      <w:r w:rsidR="00464E9A">
        <w:t>tiếp tục dựa vào</w:t>
      </w:r>
      <w:r w:rsidR="005E251D">
        <w:t xml:space="preserve"> dữ liệu và tăng cường công tác thu thập dữ liệu, nhóm </w:t>
      </w:r>
      <w:r w:rsidR="00464E9A">
        <w:t>lập</w:t>
      </w:r>
      <w:r w:rsidR="005E251D">
        <w:t xml:space="preserve"> báo cáo có thể phân tích sâu sắc hơn nữa môi trường </w:t>
      </w:r>
      <w:r w:rsidR="00464E9A">
        <w:t>phá</w:t>
      </w:r>
      <w:r w:rsidR="006C6521">
        <w:t xml:space="preserve">p </w:t>
      </w:r>
      <w:r w:rsidR="00464E9A">
        <w:t>lý cho</w:t>
      </w:r>
      <w:r w:rsidR="005E251D">
        <w:t xml:space="preserve"> kinh doanh và tạo ra những kiến thức toàn diện hơn nữa với mỗi ấn </w:t>
      </w:r>
      <w:r w:rsidR="00464E9A">
        <w:t>phẩm</w:t>
      </w:r>
      <w:r w:rsidR="005E251D">
        <w:t xml:space="preserve"> mới</w:t>
      </w:r>
      <w:r w:rsidR="0072149F">
        <w:t xml:space="preserve">.  </w:t>
      </w:r>
    </w:p>
    <w:p w:rsidR="00CD1587" w:rsidRDefault="0072149F" w:rsidP="0091582C">
      <w:pPr>
        <w:shd w:val="clear" w:color="auto" w:fill="FFFFFF" w:themeFill="background1"/>
        <w:spacing w:after="0" w:line="259" w:lineRule="auto"/>
        <w:ind w:left="2" w:firstLine="0"/>
      </w:pPr>
      <w:r>
        <w:t xml:space="preserve"> </w:t>
      </w:r>
    </w:p>
    <w:p w:rsidR="00CD1587" w:rsidRDefault="0057465A" w:rsidP="0091582C">
      <w:pPr>
        <w:shd w:val="clear" w:color="auto" w:fill="FFFFFF" w:themeFill="background1"/>
        <w:ind w:left="-4" w:right="2"/>
      </w:pPr>
      <w:proofErr w:type="gramStart"/>
      <w:r>
        <w:t>Công tác n</w:t>
      </w:r>
      <w:r w:rsidR="00B23701">
        <w:t xml:space="preserve">ghiên cứu kinh tế luôn luôn </w:t>
      </w:r>
      <w:r w:rsidR="00122918">
        <w:t>thay đổi</w:t>
      </w:r>
      <w:r w:rsidR="00B23701">
        <w:t xml:space="preserve"> </w:t>
      </w:r>
      <w:r w:rsidR="00122918">
        <w:t xml:space="preserve">vì </w:t>
      </w:r>
      <w:r w:rsidR="00B23701">
        <w:t xml:space="preserve">các nhà nghiên cứu </w:t>
      </w:r>
      <w:r w:rsidR="00122918">
        <w:t xml:space="preserve">luôn </w:t>
      </w:r>
      <w:r w:rsidR="00B23701">
        <w:t>củng cố và định hình cách thức nghiên cứu và phân tích thế giới xung quan</w:t>
      </w:r>
      <w:r>
        <w:t xml:space="preserve">h </w:t>
      </w:r>
      <w:r w:rsidR="00B23701">
        <w:t>chúng ta</w:t>
      </w:r>
      <w:r w:rsidR="00B9474B">
        <w:t>.</w:t>
      </w:r>
      <w:proofErr w:type="gramEnd"/>
      <w:r w:rsidR="00B9474B">
        <w:t xml:space="preserve"> </w:t>
      </w:r>
      <w:proofErr w:type="gramStart"/>
      <w:r w:rsidR="00B9474B">
        <w:t>Mục đích của</w:t>
      </w:r>
      <w:r w:rsidR="00B23701">
        <w:t xml:space="preserve"> báo cáo </w:t>
      </w:r>
      <w:r w:rsidR="00B23701">
        <w:rPr>
          <w:i/>
        </w:rPr>
        <w:t>Môi trường kinh doanh</w:t>
      </w:r>
      <w:r w:rsidR="00B23701">
        <w:t xml:space="preserve"> là tiếp tục định</w:t>
      </w:r>
      <w:r w:rsidR="002A2871">
        <w:t xml:space="preserve"> hình sản phẩm </w:t>
      </w:r>
      <w:r w:rsidR="00122918">
        <w:t xml:space="preserve">kiến thức này </w:t>
      </w:r>
      <w:r w:rsidR="002A2871">
        <w:t xml:space="preserve">để đưa đến một </w:t>
      </w:r>
      <w:r w:rsidR="00122918">
        <w:t>cơ sở</w:t>
      </w:r>
      <w:r w:rsidR="002A2871">
        <w:t xml:space="preserve"> khách quan cho </w:t>
      </w:r>
      <w:r w:rsidR="00B9474B">
        <w:t>sự</w:t>
      </w:r>
      <w:r w:rsidR="002A2871">
        <w:t xml:space="preserve"> hiểu biết và cải thiện môi trường </w:t>
      </w:r>
      <w:r w:rsidR="00122918">
        <w:t xml:space="preserve">pháp lý </w:t>
      </w:r>
      <w:r w:rsidR="00B9474B">
        <w:t>đối với</w:t>
      </w:r>
      <w:r w:rsidR="002A2871">
        <w:t xml:space="preserve"> các doanh nghiệp địa phương thuộc </w:t>
      </w:r>
      <w:r w:rsidR="00B9474B">
        <w:t>nhiều</w:t>
      </w:r>
      <w:r w:rsidR="002A2871">
        <w:t xml:space="preserve"> nền kinh tế trên toàn thế giới</w:t>
      </w:r>
      <w:r w:rsidR="0072149F">
        <w:t>.</w:t>
      </w:r>
      <w:proofErr w:type="gramEnd"/>
      <w:r w:rsidR="0072149F">
        <w:t xml:space="preserve">  </w:t>
      </w:r>
    </w:p>
    <w:p w:rsidR="00CD1587" w:rsidRDefault="0072149F" w:rsidP="0091582C">
      <w:pPr>
        <w:shd w:val="clear" w:color="auto" w:fill="FFFFFF" w:themeFill="background1"/>
        <w:spacing w:after="0" w:line="259" w:lineRule="auto"/>
        <w:ind w:left="2" w:firstLine="0"/>
      </w:pPr>
      <w:r>
        <w:t xml:space="preserve"> </w:t>
      </w:r>
    </w:p>
    <w:p w:rsidR="00CD1587" w:rsidRDefault="0093340D" w:rsidP="0091582C">
      <w:pPr>
        <w:shd w:val="clear" w:color="auto" w:fill="FFFFFF" w:themeFill="background1"/>
        <w:ind w:left="-4" w:right="2"/>
      </w:pPr>
      <w:r>
        <w:t xml:space="preserve">Tương tự như những bộ chỉ số quốc tế </w:t>
      </w:r>
      <w:r w:rsidR="00A10B74">
        <w:t>chính</w:t>
      </w:r>
      <w:r>
        <w:t xml:space="preserve">, báo cáo </w:t>
      </w:r>
      <w:r>
        <w:rPr>
          <w:i/>
        </w:rPr>
        <w:t xml:space="preserve">Môi trường kinh doanh </w:t>
      </w:r>
      <w:r>
        <w:t xml:space="preserve">đã đi một quãng đường dài kể từ khi bắt đầu năm 2003 và vẫn đang tiếp tục </w:t>
      </w:r>
      <w:r w:rsidR="00A10B74">
        <w:t xml:space="preserve">trên đà </w:t>
      </w:r>
      <w:r>
        <w:t>phát triển.</w:t>
      </w:r>
      <w:r w:rsidR="0072149F">
        <w:t xml:space="preserve"> </w:t>
      </w:r>
      <w:proofErr w:type="gramStart"/>
      <w:r>
        <w:t xml:space="preserve">So với những bộ dữ liệu </w:t>
      </w:r>
      <w:r w:rsidR="00A10B74">
        <w:t>chính</w:t>
      </w:r>
      <w:r>
        <w:t xml:space="preserve"> dùng làm chuẩn so sánh quốc tế khác, báo cáo </w:t>
      </w:r>
      <w:r>
        <w:rPr>
          <w:i/>
        </w:rPr>
        <w:t>Môi trường kinh doanh</w:t>
      </w:r>
      <w:r>
        <w:t xml:space="preserve"> có một tỷ lệ hiệu chỉnh dữ liệu tương đối thấp, chỉ vào khoảng 5%</w:t>
      </w:r>
      <w:r w:rsidR="0072149F">
        <w:t>.</w:t>
      </w:r>
      <w:proofErr w:type="gramEnd"/>
      <w:r w:rsidR="0072149F">
        <w:t xml:space="preserve"> </w:t>
      </w:r>
    </w:p>
    <w:p w:rsidR="00CD1587" w:rsidRDefault="0072149F" w:rsidP="0091582C">
      <w:pPr>
        <w:shd w:val="clear" w:color="auto" w:fill="FFFFFF" w:themeFill="background1"/>
        <w:spacing w:after="0" w:line="259" w:lineRule="auto"/>
        <w:ind w:left="2" w:firstLine="0"/>
      </w:pPr>
      <w:r>
        <w:t xml:space="preserve"> </w:t>
      </w:r>
    </w:p>
    <w:p w:rsidR="00CD1587" w:rsidRDefault="0093340D" w:rsidP="0091582C">
      <w:pPr>
        <w:shd w:val="clear" w:color="auto" w:fill="FFFFFF" w:themeFill="background1"/>
        <w:spacing w:after="0" w:line="259" w:lineRule="auto"/>
        <w:ind w:left="-3" w:hanging="10"/>
      </w:pPr>
      <w:proofErr w:type="gramStart"/>
      <w:r>
        <w:rPr>
          <w:b/>
        </w:rPr>
        <w:t>Những nhà hoạch định chính sách có thể sử dụng dữ liệu này như thế nào</w:t>
      </w:r>
      <w:r w:rsidR="0072149F">
        <w:rPr>
          <w:b/>
        </w:rPr>
        <w:t>?</w:t>
      </w:r>
      <w:proofErr w:type="gramEnd"/>
      <w:r w:rsidR="0072149F">
        <w:rPr>
          <w:b/>
        </w:rPr>
        <w:t xml:space="preserve"> </w:t>
      </w:r>
    </w:p>
    <w:p w:rsidR="00CD1587" w:rsidRDefault="0093340D" w:rsidP="0091582C">
      <w:pPr>
        <w:shd w:val="clear" w:color="auto" w:fill="FFFFFF" w:themeFill="background1"/>
        <w:spacing w:after="142"/>
        <w:ind w:left="-4" w:right="2"/>
      </w:pPr>
      <w:r>
        <w:t xml:space="preserve">Dữ liệu trong báo cáo </w:t>
      </w:r>
      <w:r>
        <w:rPr>
          <w:i/>
        </w:rPr>
        <w:t xml:space="preserve">Môi trường kinh doanh </w:t>
      </w:r>
      <w:r>
        <w:t>cung cấp cho các nhà hoạch định chính sách những so sánh thuộc một lĩnh vực rất quan trọng</w:t>
      </w:r>
      <w:r w:rsidR="0072149F">
        <w:t xml:space="preserve">: </w:t>
      </w:r>
      <w:r>
        <w:t xml:space="preserve">môi trường </w:t>
      </w:r>
      <w:r w:rsidR="004535B6">
        <w:t xml:space="preserve">pháp lý </w:t>
      </w:r>
      <w:r>
        <w:t>cho hoạt động kinh doanh</w:t>
      </w:r>
      <w:r w:rsidR="0072149F">
        <w:t xml:space="preserve">. </w:t>
      </w:r>
      <w:proofErr w:type="gramStart"/>
      <w:r>
        <w:t xml:space="preserve">Các dữ liệu nêu bật những nguyên nhân gây đình trệ và những </w:t>
      </w:r>
      <w:r w:rsidR="004535B6">
        <w:t xml:space="preserve">điểm thiếu linh hoạt trong hệ thống pháp lý và </w:t>
      </w:r>
      <w:r w:rsidR="00122918">
        <w:t xml:space="preserve">quy định </w:t>
      </w:r>
      <w:r w:rsidR="004535B6">
        <w:t>cho các doanh nghiệp,</w:t>
      </w:r>
      <w:r w:rsidR="008D74FD">
        <w:t xml:space="preserve"> đồng thời</w:t>
      </w:r>
      <w:r w:rsidR="004535B6">
        <w:t xml:space="preserve"> chỉ ra những gì cần phải thay đổi khi thiết kế cải cách.</w:t>
      </w:r>
      <w:proofErr w:type="gramEnd"/>
      <w:r w:rsidR="004535B6">
        <w:t xml:space="preserve">  </w:t>
      </w:r>
      <w:proofErr w:type="gramStart"/>
      <w:r w:rsidR="004535B6">
        <w:t xml:space="preserve">Các nhà hoạch định chính sách có thể cũng hưởng lợi từ việc rà soát </w:t>
      </w:r>
      <w:r w:rsidR="001D2C53">
        <w:t xml:space="preserve">những </w:t>
      </w:r>
      <w:r w:rsidR="004535B6">
        <w:t>kinh nghiệm của các nền kinh tế đã áp dụng những thông lệ quy định kinh doanh</w:t>
      </w:r>
      <w:r w:rsidR="001D2C53">
        <w:t xml:space="preserve"> hiệu quả hơn</w:t>
      </w:r>
      <w:r w:rsidR="004535B6">
        <w:t xml:space="preserve"> và thực hiện tốt các chỉ số.</w:t>
      </w:r>
      <w:proofErr w:type="gramEnd"/>
      <w:r w:rsidR="004535B6">
        <w:t xml:space="preserve"> </w:t>
      </w:r>
      <w:r w:rsidR="001D2C53">
        <w:t xml:space="preserve">Bằng cách mở rộng phạm vi đo lường, báo cáo </w:t>
      </w:r>
      <w:r w:rsidR="001D2C53">
        <w:rPr>
          <w:i/>
        </w:rPr>
        <w:t xml:space="preserve">Môi trường kinh doanh </w:t>
      </w:r>
      <w:r w:rsidR="001956C6">
        <w:t xml:space="preserve">cung cấp cho các nhà hoạch định chính sách một bức tranh hoàn thiện hơn về môi trường kinh doanh cũng như những lĩnh vực mới để xem xét cho </w:t>
      </w:r>
      <w:r w:rsidR="00227461">
        <w:t>lịch</w:t>
      </w:r>
      <w:r w:rsidR="001956C6">
        <w:t xml:space="preserve"> trình cải cách của họ</w:t>
      </w:r>
      <w:r w:rsidR="0072149F">
        <w:t xml:space="preserve">. </w:t>
      </w:r>
    </w:p>
    <w:p w:rsidR="00CD1587" w:rsidRDefault="0072149F" w:rsidP="0091582C">
      <w:pPr>
        <w:shd w:val="clear" w:color="auto" w:fill="FFFFFF" w:themeFill="background1"/>
        <w:spacing w:after="0" w:line="259" w:lineRule="auto"/>
        <w:ind w:left="2" w:firstLine="0"/>
      </w:pPr>
      <w:r>
        <w:t xml:space="preserve">  </w:t>
      </w:r>
    </w:p>
    <w:p w:rsidR="00CA640E" w:rsidRDefault="00CA640E" w:rsidP="0091582C">
      <w:pPr>
        <w:shd w:val="clear" w:color="auto" w:fill="FFFFFF" w:themeFill="background1"/>
        <w:autoSpaceDE w:val="0"/>
        <w:autoSpaceDN w:val="0"/>
        <w:adjustRightInd w:val="0"/>
        <w:spacing w:line="240" w:lineRule="atLeast"/>
      </w:pPr>
      <w:r>
        <w:rPr>
          <w:b/>
          <w:bCs/>
          <w:szCs w:val="20"/>
        </w:rPr>
        <w:t xml:space="preserve">Để tìm hiểu thông tin cụ thể về </w:t>
      </w:r>
      <w:r w:rsidR="00791D88">
        <w:rPr>
          <w:b/>
          <w:bCs/>
          <w:szCs w:val="20"/>
        </w:rPr>
        <w:t xml:space="preserve">báo cáo </w:t>
      </w:r>
      <w:r w:rsidRPr="0087707A">
        <w:rPr>
          <w:b/>
          <w:bCs/>
          <w:i/>
          <w:szCs w:val="20"/>
          <w:lang w:val="vi-VN"/>
        </w:rPr>
        <w:t>Môi trường Kinh doanh</w:t>
      </w:r>
      <w:r>
        <w:rPr>
          <w:b/>
          <w:bCs/>
          <w:i/>
          <w:szCs w:val="20"/>
        </w:rPr>
        <w:t xml:space="preserve">, </w:t>
      </w:r>
      <w:r>
        <w:rPr>
          <w:b/>
          <w:bCs/>
          <w:szCs w:val="20"/>
        </w:rPr>
        <w:t xml:space="preserve">mời truy cập trang web </w:t>
      </w:r>
    </w:p>
    <w:p w:rsidR="00CD1587" w:rsidRDefault="00CD3D03" w:rsidP="0091582C">
      <w:pPr>
        <w:shd w:val="clear" w:color="auto" w:fill="FFFFFF" w:themeFill="background1"/>
        <w:spacing w:after="0" w:line="254" w:lineRule="auto"/>
        <w:ind w:left="2" w:firstLine="0"/>
      </w:pPr>
      <w:hyperlink r:id="rId7">
        <w:proofErr w:type="gramStart"/>
        <w:r w:rsidR="0072149F">
          <w:rPr>
            <w:color w:val="1F487C"/>
          </w:rPr>
          <w:t>www.doingbusiness.org</w:t>
        </w:r>
      </w:hyperlink>
      <w:hyperlink r:id="rId8">
        <w:r w:rsidR="0072149F">
          <w:rPr>
            <w:b/>
            <w:color w:val="FF0000"/>
          </w:rPr>
          <w:t xml:space="preserve"> </w:t>
        </w:r>
      </w:hyperlink>
      <w:r w:rsidR="00CA640E" w:rsidRPr="00122918">
        <w:t>và cập nhật thông tin trên</w:t>
      </w:r>
      <w:r w:rsidR="0072149F">
        <w:rPr>
          <w:color w:val="1F487C"/>
        </w:rPr>
        <w:t xml:space="preserve"> doingbusiness.org/Facebook.</w:t>
      </w:r>
      <w:proofErr w:type="gramEnd"/>
      <w:r w:rsidR="0072149F">
        <w:t xml:space="preserve"> </w:t>
      </w:r>
    </w:p>
    <w:sectPr w:rsidR="00CD1587" w:rsidSect="00F54CE3">
      <w:pgSz w:w="12240" w:h="15840"/>
      <w:pgMar w:top="1420" w:right="1443" w:bottom="1417"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2B24"/>
    <w:multiLevelType w:val="hybridMultilevel"/>
    <w:tmpl w:val="6048234A"/>
    <w:lvl w:ilvl="0" w:tplc="3F14516A">
      <w:start w:val="1"/>
      <w:numFmt w:val="decimal"/>
      <w:lvlText w:val="%1-"/>
      <w:lvlJc w:val="left"/>
      <w:pPr>
        <w:ind w:left="7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4507A40">
      <w:start w:val="1"/>
      <w:numFmt w:val="lowerLetter"/>
      <w:lvlText w:val="%2"/>
      <w:lvlJc w:val="left"/>
      <w:pPr>
        <w:ind w:left="14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33890EA">
      <w:start w:val="1"/>
      <w:numFmt w:val="lowerRoman"/>
      <w:lvlText w:val="%3"/>
      <w:lvlJc w:val="left"/>
      <w:pPr>
        <w:ind w:left="21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C3243C8">
      <w:start w:val="1"/>
      <w:numFmt w:val="decimal"/>
      <w:lvlText w:val="%4"/>
      <w:lvlJc w:val="left"/>
      <w:pPr>
        <w:ind w:left="28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BAB116">
      <w:start w:val="1"/>
      <w:numFmt w:val="lowerLetter"/>
      <w:lvlText w:val="%5"/>
      <w:lvlJc w:val="left"/>
      <w:pPr>
        <w:ind w:left="3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7E5F0C">
      <w:start w:val="1"/>
      <w:numFmt w:val="lowerRoman"/>
      <w:lvlText w:val="%6"/>
      <w:lvlJc w:val="left"/>
      <w:pPr>
        <w:ind w:left="43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FA1F54">
      <w:start w:val="1"/>
      <w:numFmt w:val="decimal"/>
      <w:lvlText w:val="%7"/>
      <w:lvlJc w:val="left"/>
      <w:pPr>
        <w:ind w:left="50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4E8E04">
      <w:start w:val="1"/>
      <w:numFmt w:val="lowerLetter"/>
      <w:lvlText w:val="%8"/>
      <w:lvlJc w:val="left"/>
      <w:pPr>
        <w:ind w:left="57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A80904">
      <w:start w:val="1"/>
      <w:numFmt w:val="lowerRoman"/>
      <w:lvlText w:val="%9"/>
      <w:lvlJc w:val="left"/>
      <w:pPr>
        <w:ind w:left="64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nsid w:val="18DF4AAF"/>
    <w:multiLevelType w:val="hybridMultilevel"/>
    <w:tmpl w:val="D2CA265C"/>
    <w:lvl w:ilvl="0" w:tplc="04090001">
      <w:start w:val="1"/>
      <w:numFmt w:val="bullet"/>
      <w:lvlText w:val=""/>
      <w:lvlJc w:val="left"/>
      <w:pPr>
        <w:ind w:left="72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90151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66ADD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20A29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6C3E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86B7F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E6E53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746D6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BC7CD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34A049B"/>
    <w:multiLevelType w:val="hybridMultilevel"/>
    <w:tmpl w:val="BE6E08E6"/>
    <w:lvl w:ilvl="0" w:tplc="B08C819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0151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66ADD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20A29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6C3E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86B7F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E6E53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746D6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BC7CD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87"/>
    <w:rsid w:val="00016235"/>
    <w:rsid w:val="000201B3"/>
    <w:rsid w:val="00043639"/>
    <w:rsid w:val="00043EB5"/>
    <w:rsid w:val="00083260"/>
    <w:rsid w:val="000A7E7D"/>
    <w:rsid w:val="000B1792"/>
    <w:rsid w:val="000C2246"/>
    <w:rsid w:val="00116927"/>
    <w:rsid w:val="00122918"/>
    <w:rsid w:val="001336D8"/>
    <w:rsid w:val="00174AA8"/>
    <w:rsid w:val="001956C6"/>
    <w:rsid w:val="0019723E"/>
    <w:rsid w:val="001A5627"/>
    <w:rsid w:val="001A61C5"/>
    <w:rsid w:val="001C190C"/>
    <w:rsid w:val="001D2C53"/>
    <w:rsid w:val="001E2E44"/>
    <w:rsid w:val="00207449"/>
    <w:rsid w:val="00227461"/>
    <w:rsid w:val="0022790B"/>
    <w:rsid w:val="002A1584"/>
    <w:rsid w:val="002A2871"/>
    <w:rsid w:val="002C6CFA"/>
    <w:rsid w:val="00315AAE"/>
    <w:rsid w:val="003467FA"/>
    <w:rsid w:val="00355E50"/>
    <w:rsid w:val="003610D2"/>
    <w:rsid w:val="00361F0F"/>
    <w:rsid w:val="00381008"/>
    <w:rsid w:val="00392220"/>
    <w:rsid w:val="003B0CCC"/>
    <w:rsid w:val="004527A8"/>
    <w:rsid w:val="004535B6"/>
    <w:rsid w:val="00456D3A"/>
    <w:rsid w:val="00463165"/>
    <w:rsid w:val="00464E9A"/>
    <w:rsid w:val="00495303"/>
    <w:rsid w:val="004C77D7"/>
    <w:rsid w:val="004E40CA"/>
    <w:rsid w:val="004E654F"/>
    <w:rsid w:val="00526D82"/>
    <w:rsid w:val="00544026"/>
    <w:rsid w:val="00544183"/>
    <w:rsid w:val="005526C4"/>
    <w:rsid w:val="005570A3"/>
    <w:rsid w:val="0057465A"/>
    <w:rsid w:val="005804C2"/>
    <w:rsid w:val="005B5CCD"/>
    <w:rsid w:val="005B762F"/>
    <w:rsid w:val="005C7AC0"/>
    <w:rsid w:val="005D79F0"/>
    <w:rsid w:val="005E251D"/>
    <w:rsid w:val="00603AB6"/>
    <w:rsid w:val="00621ED7"/>
    <w:rsid w:val="0062472C"/>
    <w:rsid w:val="00655807"/>
    <w:rsid w:val="00657F17"/>
    <w:rsid w:val="00660977"/>
    <w:rsid w:val="006B0A39"/>
    <w:rsid w:val="006C6521"/>
    <w:rsid w:val="006D3D2E"/>
    <w:rsid w:val="006D4134"/>
    <w:rsid w:val="006D6AA3"/>
    <w:rsid w:val="00716832"/>
    <w:rsid w:val="0072149F"/>
    <w:rsid w:val="007525C3"/>
    <w:rsid w:val="00760117"/>
    <w:rsid w:val="00764D11"/>
    <w:rsid w:val="00791D88"/>
    <w:rsid w:val="007C6296"/>
    <w:rsid w:val="007E7ABF"/>
    <w:rsid w:val="00801A08"/>
    <w:rsid w:val="00833766"/>
    <w:rsid w:val="008630A5"/>
    <w:rsid w:val="00871E9C"/>
    <w:rsid w:val="00877381"/>
    <w:rsid w:val="008C2EB4"/>
    <w:rsid w:val="008D74FD"/>
    <w:rsid w:val="0091582C"/>
    <w:rsid w:val="0093340D"/>
    <w:rsid w:val="00941793"/>
    <w:rsid w:val="00951780"/>
    <w:rsid w:val="0095716E"/>
    <w:rsid w:val="00980D84"/>
    <w:rsid w:val="00A10B74"/>
    <w:rsid w:val="00A37A1D"/>
    <w:rsid w:val="00A45F76"/>
    <w:rsid w:val="00A64EB2"/>
    <w:rsid w:val="00A77012"/>
    <w:rsid w:val="00A90D32"/>
    <w:rsid w:val="00AB33D4"/>
    <w:rsid w:val="00AC2C70"/>
    <w:rsid w:val="00AE281B"/>
    <w:rsid w:val="00B23701"/>
    <w:rsid w:val="00B368E5"/>
    <w:rsid w:val="00B36D2C"/>
    <w:rsid w:val="00B53377"/>
    <w:rsid w:val="00B914C1"/>
    <w:rsid w:val="00B9474B"/>
    <w:rsid w:val="00BE6320"/>
    <w:rsid w:val="00C455A5"/>
    <w:rsid w:val="00C51AAE"/>
    <w:rsid w:val="00C552D6"/>
    <w:rsid w:val="00C647A7"/>
    <w:rsid w:val="00CA640E"/>
    <w:rsid w:val="00CB1E9E"/>
    <w:rsid w:val="00CB3623"/>
    <w:rsid w:val="00CD1587"/>
    <w:rsid w:val="00CD3D03"/>
    <w:rsid w:val="00D071BB"/>
    <w:rsid w:val="00D12E2C"/>
    <w:rsid w:val="00D13CEB"/>
    <w:rsid w:val="00D25125"/>
    <w:rsid w:val="00D51F5F"/>
    <w:rsid w:val="00D75D7B"/>
    <w:rsid w:val="00DA4BF4"/>
    <w:rsid w:val="00DC5DF8"/>
    <w:rsid w:val="00DD0F46"/>
    <w:rsid w:val="00DD6596"/>
    <w:rsid w:val="00DD748E"/>
    <w:rsid w:val="00DE4B94"/>
    <w:rsid w:val="00DF33A1"/>
    <w:rsid w:val="00DF75D9"/>
    <w:rsid w:val="00E12204"/>
    <w:rsid w:val="00E132DA"/>
    <w:rsid w:val="00E2269F"/>
    <w:rsid w:val="00E2396F"/>
    <w:rsid w:val="00E251E7"/>
    <w:rsid w:val="00E32FC0"/>
    <w:rsid w:val="00E36D36"/>
    <w:rsid w:val="00E70554"/>
    <w:rsid w:val="00E80A9D"/>
    <w:rsid w:val="00E82B63"/>
    <w:rsid w:val="00EA63EC"/>
    <w:rsid w:val="00ED2C1C"/>
    <w:rsid w:val="00EE1000"/>
    <w:rsid w:val="00F03F62"/>
    <w:rsid w:val="00F3030F"/>
    <w:rsid w:val="00F54CE3"/>
    <w:rsid w:val="00F572CE"/>
    <w:rsid w:val="00F65002"/>
    <w:rsid w:val="00FB3096"/>
    <w:rsid w:val="00FB4059"/>
    <w:rsid w:val="00FB6A83"/>
    <w:rsid w:val="00FD618E"/>
    <w:rsid w:val="00FD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1" w:hanging="9"/>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59"/>
    <w:rPr>
      <w:rFonts w:ascii="Tahoma" w:eastAsia="Arial" w:hAnsi="Tahoma" w:cs="Tahoma"/>
      <w:color w:val="000000"/>
      <w:sz w:val="16"/>
      <w:szCs w:val="16"/>
    </w:rPr>
  </w:style>
  <w:style w:type="paragraph" w:styleId="ListParagraph">
    <w:name w:val="List Paragraph"/>
    <w:basedOn w:val="Normal"/>
    <w:uiPriority w:val="34"/>
    <w:qFormat/>
    <w:rsid w:val="00ED2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1" w:hanging="9"/>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59"/>
    <w:rPr>
      <w:rFonts w:ascii="Tahoma" w:eastAsia="Arial" w:hAnsi="Tahoma" w:cs="Tahoma"/>
      <w:color w:val="000000"/>
      <w:sz w:val="16"/>
      <w:szCs w:val="16"/>
    </w:rPr>
  </w:style>
  <w:style w:type="paragraph" w:styleId="ListParagraph">
    <w:name w:val="List Paragraph"/>
    <w:basedOn w:val="Normal"/>
    <w:uiPriority w:val="34"/>
    <w:qFormat/>
    <w:rsid w:val="00ED2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oingbusiness.org/" TargetMode="External"/><Relationship Id="rId3" Type="http://schemas.microsoft.com/office/2007/relationships/stylesWithEffects" Target="stylesWithEffects.xml"/><Relationship Id="rId7" Type="http://schemas.openxmlformats.org/officeDocument/2006/relationships/hyperlink" Target="http://www.doingbusin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nsghannam</dc:creator>
  <cp:lastModifiedBy>Huong Lan Vu</cp:lastModifiedBy>
  <cp:revision>2</cp:revision>
  <dcterms:created xsi:type="dcterms:W3CDTF">2014-10-29T04:00:00Z</dcterms:created>
  <dcterms:modified xsi:type="dcterms:W3CDTF">2014-10-29T04:00:00Z</dcterms:modified>
</cp:coreProperties>
</file>